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80" w:lineRule="exact"/>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上犹县医疗</w:t>
      </w:r>
      <w:r>
        <w:rPr>
          <w:rFonts w:hint="eastAsia" w:ascii="方正小标宋_GBK" w:hAnsi="方正小标宋_GBK" w:eastAsia="方正小标宋_GBK"/>
          <w:b w:val="0"/>
          <w:bCs w:val="0"/>
          <w:sz w:val="30"/>
        </w:rPr>
        <w:t>卫生领域</w:t>
      </w:r>
      <w:r>
        <w:rPr>
          <w:rFonts w:hint="eastAsia" w:ascii="方正小标宋_GBK" w:hAnsi="方正小标宋_GBK" w:eastAsia="方正小标宋_GBK"/>
          <w:b w:val="0"/>
          <w:bCs w:val="0"/>
          <w:sz w:val="30"/>
          <w:lang w:val="en-US" w:eastAsia="zh-CN"/>
        </w:rPr>
        <w:t>基层政务公开</w:t>
      </w:r>
      <w:bookmarkStart w:id="0" w:name="_GoBack"/>
      <w:bookmarkEnd w:id="0"/>
      <w:r>
        <w:rPr>
          <w:rFonts w:hint="eastAsia" w:ascii="方正小标宋_GBK" w:hAnsi="方正小标宋_GBK" w:eastAsia="方正小标宋_GBK"/>
          <w:b w:val="0"/>
          <w:bCs w:val="0"/>
          <w:sz w:val="30"/>
        </w:rPr>
        <w:t>标准目录</w:t>
      </w:r>
    </w:p>
    <w:tbl>
      <w:tblPr>
        <w:tblStyle w:val="3"/>
        <w:tblW w:w="14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709"/>
        <w:gridCol w:w="1169"/>
        <w:gridCol w:w="4076"/>
        <w:gridCol w:w="1772"/>
        <w:gridCol w:w="1418"/>
        <w:gridCol w:w="709"/>
        <w:gridCol w:w="1063"/>
        <w:gridCol w:w="709"/>
        <w:gridCol w:w="709"/>
        <w:gridCol w:w="58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 w:hRule="atLeast"/>
        </w:trPr>
        <w:tc>
          <w:tcPr>
            <w:tcW w:w="532"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7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07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772"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18"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09"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63"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9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widowControl/>
              <w:jc w:val="left"/>
              <w:rPr>
                <w:rFonts w:ascii="Times New Roman" w:hAnsi="Times New Roman"/>
                <w:color w:val="000000"/>
                <w:kern w:val="0"/>
                <w:sz w:val="22"/>
              </w:rPr>
            </w:pP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6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076" w:type="dxa"/>
            <w:vMerge w:val="continue"/>
            <w:noWrap w:val="0"/>
            <w:vAlign w:val="center"/>
          </w:tcPr>
          <w:p>
            <w:pPr>
              <w:widowControl/>
              <w:jc w:val="left"/>
              <w:rPr>
                <w:rFonts w:ascii="黑体" w:hAnsi="宋体" w:eastAsia="黑体" w:cs="宋体"/>
                <w:color w:val="000000"/>
                <w:kern w:val="0"/>
                <w:sz w:val="22"/>
              </w:rPr>
            </w:pPr>
          </w:p>
        </w:tc>
        <w:tc>
          <w:tcPr>
            <w:tcW w:w="1772" w:type="dxa"/>
            <w:vMerge w:val="continue"/>
            <w:noWrap w:val="0"/>
            <w:vAlign w:val="center"/>
          </w:tcPr>
          <w:p>
            <w:pPr>
              <w:widowControl/>
              <w:jc w:val="left"/>
              <w:rPr>
                <w:rFonts w:ascii="黑体" w:hAnsi="宋体" w:eastAsia="黑体" w:cs="宋体"/>
                <w:color w:val="000000"/>
                <w:kern w:val="0"/>
                <w:sz w:val="22"/>
              </w:rPr>
            </w:pPr>
          </w:p>
        </w:tc>
        <w:tc>
          <w:tcPr>
            <w:tcW w:w="1418" w:type="dxa"/>
            <w:vMerge w:val="continue"/>
            <w:noWrap w:val="0"/>
            <w:vAlign w:val="center"/>
          </w:tcPr>
          <w:p>
            <w:pPr>
              <w:widowControl/>
              <w:jc w:val="left"/>
              <w:rPr>
                <w:rFonts w:ascii="黑体" w:hAnsi="宋体" w:eastAsia="黑体" w:cs="宋体"/>
                <w:color w:val="000000"/>
                <w:kern w:val="0"/>
                <w:sz w:val="22"/>
              </w:rPr>
            </w:pPr>
          </w:p>
        </w:tc>
        <w:tc>
          <w:tcPr>
            <w:tcW w:w="709" w:type="dxa"/>
            <w:vMerge w:val="continue"/>
            <w:noWrap w:val="0"/>
            <w:vAlign w:val="center"/>
          </w:tcPr>
          <w:p>
            <w:pPr>
              <w:widowControl/>
              <w:jc w:val="left"/>
              <w:rPr>
                <w:rFonts w:ascii="黑体" w:hAnsi="宋体" w:eastAsia="黑体" w:cs="宋体"/>
                <w:color w:val="000000"/>
                <w:kern w:val="0"/>
                <w:sz w:val="22"/>
              </w:rPr>
            </w:pPr>
          </w:p>
        </w:tc>
        <w:tc>
          <w:tcPr>
            <w:tcW w:w="1063" w:type="dxa"/>
            <w:vMerge w:val="continue"/>
            <w:noWrap w:val="0"/>
            <w:vAlign w:val="center"/>
          </w:tcPr>
          <w:p>
            <w:pPr>
              <w:widowControl/>
              <w:jc w:val="left"/>
              <w:rPr>
                <w:rFonts w:ascii="黑体" w:hAnsi="宋体" w:eastAsia="黑体" w:cs="宋体"/>
                <w:kern w:val="0"/>
                <w:sz w:val="22"/>
              </w:rPr>
            </w:pP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87"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0" w:hRule="atLeast"/>
        </w:trPr>
        <w:tc>
          <w:tcPr>
            <w:tcW w:w="532" w:type="dxa"/>
            <w:vMerge w:val="restart"/>
            <w:noWrap w:val="0"/>
            <w:vAlign w:val="center"/>
          </w:tcPr>
          <w:p>
            <w:pPr>
              <w:spacing w:line="360" w:lineRule="exact"/>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709" w:type="dxa"/>
            <w:vMerge w:val="restart"/>
            <w:noWrap w:val="0"/>
            <w:vAlign w:val="center"/>
          </w:tcPr>
          <w:p>
            <w:pPr>
              <w:spacing w:line="360" w:lineRule="exact"/>
              <w:jc w:val="cente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行政许可类事项</w:t>
            </w:r>
          </w:p>
        </w:tc>
        <w:tc>
          <w:tcPr>
            <w:tcW w:w="1169" w:type="dxa"/>
            <w:vMerge w:val="restart"/>
            <w:noWrap w:val="0"/>
            <w:vAlign w:val="center"/>
          </w:tcPr>
          <w:p>
            <w:pPr>
              <w:spacing w:line="360" w:lineRule="exact"/>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母婴保健技术服务机构执业许可（包括计划生育技术服务机构执业许可）（权限内）</w:t>
            </w:r>
          </w:p>
        </w:tc>
        <w:tc>
          <w:tcPr>
            <w:tcW w:w="4076" w:type="dxa"/>
            <w:noWrap w:val="0"/>
            <w:vAlign w:val="center"/>
          </w:tcPr>
          <w:p>
            <w:pPr>
              <w:spacing w:line="360" w:lineRule="exac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1.法律法规和政策文件</w:t>
            </w:r>
            <w:r>
              <w:rPr>
                <w:rFonts w:hint="eastAsia" w:ascii="仿宋_GB2312" w:hAnsi="宋体" w:eastAsia="仿宋_GB2312" w:cs="宋体"/>
                <w:color w:val="000000"/>
                <w:sz w:val="18"/>
                <w:szCs w:val="18"/>
              </w:rPr>
              <w:t>；</w:t>
            </w:r>
          </w:p>
          <w:p>
            <w:pPr>
              <w:spacing w:line="360" w:lineRule="exact"/>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360" w:lineRule="exac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772" w:type="dxa"/>
            <w:vMerge w:val="restart"/>
            <w:noWrap w:val="0"/>
            <w:vAlign w:val="center"/>
          </w:tcPr>
          <w:p>
            <w:pPr>
              <w:spacing w:line="360" w:lineRule="exac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务院关于第六批取消和调整行政审批项目的决定》、《国家卫生健康委关于修改&lt;职业健康检查管理办法&gt;等4部门规章的决定》</w:t>
            </w:r>
          </w:p>
        </w:tc>
        <w:tc>
          <w:tcPr>
            <w:tcW w:w="1418" w:type="dxa"/>
            <w:noWrap w:val="0"/>
            <w:vAlign w:val="center"/>
          </w:tcPr>
          <w:p>
            <w:pPr>
              <w:spacing w:line="360" w:lineRule="exac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09" w:type="dxa"/>
            <w:noWrap w:val="0"/>
            <w:vAlign w:val="center"/>
          </w:tcPr>
          <w:p>
            <w:pPr>
              <w:spacing w:line="360" w:lineRule="exact"/>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县卫健委</w:t>
            </w:r>
          </w:p>
        </w:tc>
        <w:tc>
          <w:tcPr>
            <w:tcW w:w="1063" w:type="dxa"/>
            <w:noWrap w:val="0"/>
            <w:vAlign w:val="center"/>
          </w:tcPr>
          <w:p>
            <w:pPr>
              <w:spacing w:line="360" w:lineRule="exac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spacing w:line="360" w:lineRule="exact"/>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360" w:lineRule="exact"/>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spacing w:line="360" w:lineRule="exact"/>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360" w:lineRule="exact"/>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spacing w:line="360" w:lineRule="exact"/>
              <w:rPr>
                <w:rFonts w:hint="eastAsia" w:ascii="仿宋_GB2312" w:hAnsi="宋体" w:eastAsia="仿宋_GB2312" w:cs="宋体"/>
                <w:color w:val="000000"/>
                <w:sz w:val="18"/>
                <w:szCs w:val="18"/>
              </w:rPr>
            </w:pPr>
          </w:p>
        </w:tc>
        <w:tc>
          <w:tcPr>
            <w:tcW w:w="709" w:type="dxa"/>
            <w:vMerge w:val="continue"/>
            <w:noWrap w:val="0"/>
            <w:vAlign w:val="center"/>
          </w:tcPr>
          <w:p>
            <w:pPr>
              <w:spacing w:line="360" w:lineRule="exact"/>
              <w:rPr>
                <w:rFonts w:hint="eastAsia" w:ascii="仿宋_GB2312" w:hAnsi="宋体" w:eastAsia="仿宋_GB2312" w:cs="宋体"/>
                <w:bCs/>
                <w:color w:val="000000"/>
                <w:sz w:val="18"/>
                <w:szCs w:val="18"/>
              </w:rPr>
            </w:pPr>
          </w:p>
        </w:tc>
        <w:tc>
          <w:tcPr>
            <w:tcW w:w="1169" w:type="dxa"/>
            <w:vMerge w:val="continue"/>
            <w:noWrap w:val="0"/>
            <w:vAlign w:val="center"/>
          </w:tcPr>
          <w:p>
            <w:pPr>
              <w:spacing w:line="360" w:lineRule="exact"/>
              <w:rPr>
                <w:rFonts w:hint="eastAsia" w:ascii="仿宋_GB2312" w:hAnsi="宋体" w:eastAsia="仿宋_GB2312" w:cs="宋体"/>
                <w:color w:val="000000"/>
                <w:sz w:val="18"/>
                <w:szCs w:val="18"/>
              </w:rPr>
            </w:pPr>
          </w:p>
        </w:tc>
        <w:tc>
          <w:tcPr>
            <w:tcW w:w="4076" w:type="dxa"/>
            <w:noWrap w:val="0"/>
            <w:vAlign w:val="center"/>
          </w:tcPr>
          <w:p>
            <w:pPr>
              <w:spacing w:line="360" w:lineRule="exac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结果信息——母婴保健技术服务执业许可证信息</w:t>
            </w:r>
          </w:p>
        </w:tc>
        <w:tc>
          <w:tcPr>
            <w:tcW w:w="1772" w:type="dxa"/>
            <w:vMerge w:val="continue"/>
            <w:noWrap w:val="0"/>
            <w:vAlign w:val="center"/>
          </w:tcPr>
          <w:p>
            <w:pPr>
              <w:spacing w:line="360" w:lineRule="exact"/>
              <w:rPr>
                <w:rFonts w:hint="eastAsia" w:ascii="仿宋_GB2312" w:hAnsi="宋体" w:eastAsia="仿宋_GB2312" w:cs="宋体"/>
                <w:color w:val="000000"/>
                <w:sz w:val="18"/>
                <w:szCs w:val="18"/>
              </w:rPr>
            </w:pPr>
          </w:p>
        </w:tc>
        <w:tc>
          <w:tcPr>
            <w:tcW w:w="1418" w:type="dxa"/>
            <w:noWrap w:val="0"/>
            <w:vAlign w:val="center"/>
          </w:tcPr>
          <w:p>
            <w:pPr>
              <w:spacing w:line="360" w:lineRule="exac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09" w:type="dxa"/>
            <w:noWrap w:val="0"/>
            <w:vAlign w:val="center"/>
          </w:tcPr>
          <w:p>
            <w:pPr>
              <w:spacing w:line="360" w:lineRule="exact"/>
              <w:jc w:val="center"/>
            </w:pPr>
            <w:r>
              <w:rPr>
                <w:rFonts w:hint="eastAsia" w:ascii="仿宋_GB2312" w:hAnsi="宋体" w:eastAsia="仿宋_GB2312"/>
                <w:color w:val="000000"/>
                <w:sz w:val="18"/>
                <w:szCs w:val="18"/>
              </w:rPr>
              <w:t>县卫健委</w:t>
            </w:r>
          </w:p>
        </w:tc>
        <w:tc>
          <w:tcPr>
            <w:tcW w:w="1063" w:type="dxa"/>
            <w:noWrap w:val="0"/>
            <w:vAlign w:val="center"/>
          </w:tcPr>
          <w:p>
            <w:pPr>
              <w:spacing w:line="360" w:lineRule="exac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spacing w:line="360" w:lineRule="exact"/>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360" w:lineRule="exact"/>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spacing w:line="360" w:lineRule="exact"/>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360" w:lineRule="exact"/>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atLeast"/>
        </w:trPr>
        <w:tc>
          <w:tcPr>
            <w:tcW w:w="532"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09"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69"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母婴保健服务人员资格认定（包括计划生育技术服务人员合格证）（权限内）</w:t>
            </w:r>
          </w:p>
        </w:tc>
        <w:tc>
          <w:tcPr>
            <w:tcW w:w="407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p>
            <w:pPr>
              <w:spacing w:line="240" w:lineRule="exact"/>
              <w:rPr>
                <w:rFonts w:ascii="仿宋_GB2312" w:hAnsi="宋体" w:eastAsia="仿宋_GB2312"/>
                <w:color w:val="000000"/>
                <w:sz w:val="18"/>
                <w:szCs w:val="18"/>
              </w:rPr>
            </w:pPr>
          </w:p>
        </w:tc>
        <w:tc>
          <w:tcPr>
            <w:tcW w:w="1772"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家卫生健康委关于修改&lt;职业健康检查管理办法&gt;等4部门规章的决定》、《计划生育技术服务管理条例实施细则》</w:t>
            </w:r>
          </w:p>
        </w:tc>
        <w:tc>
          <w:tcPr>
            <w:tcW w:w="1418"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09" w:type="dxa"/>
            <w:noWrap w:val="0"/>
            <w:vAlign w:val="center"/>
          </w:tcPr>
          <w:p>
            <w:pPr>
              <w:spacing w:line="240" w:lineRule="exact"/>
              <w:jc w:val="center"/>
            </w:pPr>
            <w:r>
              <w:rPr>
                <w:rFonts w:hint="eastAsia" w:ascii="仿宋_GB2312" w:hAnsi="宋体" w:eastAsia="仿宋_GB2312"/>
                <w:color w:val="000000"/>
                <w:sz w:val="18"/>
                <w:szCs w:val="18"/>
              </w:rPr>
              <w:t>县卫健委</w:t>
            </w:r>
          </w:p>
        </w:tc>
        <w:tc>
          <w:tcPr>
            <w:tcW w:w="1063"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spacing w:line="240" w:lineRule="exact"/>
              <w:rPr>
                <w:rFonts w:ascii="仿宋_GB2312" w:hAnsi="宋体" w:eastAsia="仿宋_GB2312"/>
                <w:color w:val="000000"/>
                <w:sz w:val="18"/>
                <w:szCs w:val="18"/>
              </w:rPr>
            </w:pPr>
          </w:p>
        </w:tc>
        <w:tc>
          <w:tcPr>
            <w:tcW w:w="709" w:type="dxa"/>
            <w:vMerge w:val="continue"/>
            <w:noWrap w:val="0"/>
            <w:vAlign w:val="center"/>
          </w:tcPr>
          <w:p>
            <w:pPr>
              <w:spacing w:line="240" w:lineRule="exact"/>
              <w:rPr>
                <w:rFonts w:ascii="仿宋_GB2312" w:hAnsi="宋体" w:eastAsia="仿宋_GB2312"/>
                <w:color w:val="000000"/>
                <w:sz w:val="18"/>
                <w:szCs w:val="18"/>
              </w:rPr>
            </w:pPr>
          </w:p>
        </w:tc>
        <w:tc>
          <w:tcPr>
            <w:tcW w:w="1169" w:type="dxa"/>
            <w:vMerge w:val="continue"/>
            <w:noWrap w:val="0"/>
            <w:vAlign w:val="center"/>
          </w:tcPr>
          <w:p>
            <w:pPr>
              <w:spacing w:line="240" w:lineRule="exact"/>
              <w:rPr>
                <w:rFonts w:ascii="仿宋_GB2312" w:hAnsi="宋体" w:eastAsia="仿宋_GB2312"/>
                <w:color w:val="000000"/>
                <w:sz w:val="18"/>
                <w:szCs w:val="18"/>
              </w:rPr>
            </w:pPr>
          </w:p>
        </w:tc>
        <w:tc>
          <w:tcPr>
            <w:tcW w:w="407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772" w:type="dxa"/>
            <w:vMerge w:val="continue"/>
            <w:noWrap w:val="0"/>
            <w:vAlign w:val="center"/>
          </w:tcPr>
          <w:p>
            <w:pPr>
              <w:spacing w:line="240" w:lineRule="exact"/>
              <w:rPr>
                <w:rFonts w:ascii="仿宋_GB2312" w:hAnsi="宋体" w:eastAsia="仿宋_GB2312"/>
                <w:color w:val="000000"/>
                <w:sz w:val="18"/>
                <w:szCs w:val="18"/>
              </w:rPr>
            </w:pPr>
          </w:p>
        </w:tc>
        <w:tc>
          <w:tcPr>
            <w:tcW w:w="1418"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09" w:type="dxa"/>
            <w:noWrap w:val="0"/>
            <w:vAlign w:val="center"/>
          </w:tcPr>
          <w:p>
            <w:pPr>
              <w:spacing w:line="240" w:lineRule="exact"/>
              <w:jc w:val="center"/>
            </w:pPr>
            <w:r>
              <w:rPr>
                <w:rFonts w:hint="eastAsia" w:ascii="仿宋_GB2312" w:hAnsi="宋体" w:eastAsia="仿宋_GB2312"/>
                <w:color w:val="000000"/>
                <w:sz w:val="18"/>
                <w:szCs w:val="18"/>
              </w:rPr>
              <w:t>县卫健委</w:t>
            </w:r>
          </w:p>
        </w:tc>
        <w:tc>
          <w:tcPr>
            <w:tcW w:w="1063"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1" w:hRule="atLeast"/>
        </w:trPr>
        <w:tc>
          <w:tcPr>
            <w:tcW w:w="532"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09"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69"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医疗机构设置审批（含港澳台，外商独资除外）（权限内）</w:t>
            </w:r>
          </w:p>
        </w:tc>
        <w:tc>
          <w:tcPr>
            <w:tcW w:w="407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772"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《行政许可法》、《中医药法》、《医疗机构管理条例》、《国务院关于取消和下放50项行政审批项目等事项的决定》、《医疗机构管理条例实施细则》、《医疗美容服务管理办法》</w:t>
            </w:r>
          </w:p>
        </w:tc>
        <w:tc>
          <w:tcPr>
            <w:tcW w:w="1418"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09" w:type="dxa"/>
            <w:noWrap w:val="0"/>
            <w:vAlign w:val="center"/>
          </w:tcPr>
          <w:p>
            <w:pPr>
              <w:spacing w:line="240" w:lineRule="exact"/>
              <w:jc w:val="center"/>
            </w:pPr>
            <w:r>
              <w:rPr>
                <w:rFonts w:hint="eastAsia" w:ascii="仿宋_GB2312" w:hAnsi="宋体" w:eastAsia="仿宋_GB2312"/>
                <w:color w:val="000000"/>
                <w:sz w:val="18"/>
                <w:szCs w:val="18"/>
              </w:rPr>
              <w:t>县卫健委</w:t>
            </w:r>
          </w:p>
        </w:tc>
        <w:tc>
          <w:tcPr>
            <w:tcW w:w="1063"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spacing w:line="240" w:lineRule="exact"/>
              <w:rPr>
                <w:rFonts w:ascii="仿宋_GB2312" w:hAnsi="宋体" w:eastAsia="仿宋_GB2312"/>
                <w:color w:val="000000"/>
                <w:sz w:val="18"/>
                <w:szCs w:val="18"/>
              </w:rPr>
            </w:pPr>
          </w:p>
        </w:tc>
        <w:tc>
          <w:tcPr>
            <w:tcW w:w="709" w:type="dxa"/>
            <w:vMerge w:val="continue"/>
            <w:noWrap w:val="0"/>
            <w:vAlign w:val="center"/>
          </w:tcPr>
          <w:p>
            <w:pPr>
              <w:spacing w:line="240" w:lineRule="exact"/>
              <w:rPr>
                <w:rFonts w:ascii="仿宋_GB2312" w:hAnsi="宋体" w:eastAsia="仿宋_GB2312"/>
                <w:color w:val="000000"/>
                <w:sz w:val="18"/>
                <w:szCs w:val="18"/>
              </w:rPr>
            </w:pPr>
          </w:p>
        </w:tc>
        <w:tc>
          <w:tcPr>
            <w:tcW w:w="1169" w:type="dxa"/>
            <w:vMerge w:val="continue"/>
            <w:noWrap w:val="0"/>
            <w:vAlign w:val="center"/>
          </w:tcPr>
          <w:p>
            <w:pPr>
              <w:spacing w:line="240" w:lineRule="exact"/>
              <w:rPr>
                <w:rFonts w:ascii="仿宋_GB2312" w:hAnsi="宋体" w:eastAsia="仿宋_GB2312"/>
                <w:color w:val="000000"/>
                <w:sz w:val="18"/>
                <w:szCs w:val="18"/>
              </w:rPr>
            </w:pPr>
          </w:p>
        </w:tc>
        <w:tc>
          <w:tcPr>
            <w:tcW w:w="407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结果信息——设置审批结果信息</w:t>
            </w:r>
          </w:p>
        </w:tc>
        <w:tc>
          <w:tcPr>
            <w:tcW w:w="1772" w:type="dxa"/>
            <w:vMerge w:val="continue"/>
            <w:noWrap w:val="0"/>
            <w:vAlign w:val="center"/>
          </w:tcPr>
          <w:p>
            <w:pPr>
              <w:spacing w:line="240" w:lineRule="exact"/>
              <w:rPr>
                <w:rFonts w:ascii="仿宋_GB2312" w:hAnsi="宋体" w:eastAsia="仿宋_GB2312"/>
                <w:color w:val="000000"/>
                <w:sz w:val="18"/>
                <w:szCs w:val="18"/>
              </w:rPr>
            </w:pPr>
          </w:p>
        </w:tc>
        <w:tc>
          <w:tcPr>
            <w:tcW w:w="1418"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09" w:type="dxa"/>
            <w:noWrap w:val="0"/>
            <w:vAlign w:val="center"/>
          </w:tcPr>
          <w:p>
            <w:pPr>
              <w:spacing w:line="240" w:lineRule="exact"/>
              <w:jc w:val="center"/>
            </w:pPr>
            <w:r>
              <w:rPr>
                <w:rFonts w:hint="eastAsia" w:ascii="仿宋_GB2312" w:hAnsi="宋体" w:eastAsia="仿宋_GB2312"/>
                <w:color w:val="000000"/>
                <w:sz w:val="18"/>
                <w:szCs w:val="18"/>
              </w:rPr>
              <w:t>县卫健委</w:t>
            </w:r>
          </w:p>
        </w:tc>
        <w:tc>
          <w:tcPr>
            <w:tcW w:w="1063"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09"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69"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医疗机构执业登记（人体器官移植除外）（权限内）</w:t>
            </w:r>
          </w:p>
        </w:tc>
        <w:tc>
          <w:tcPr>
            <w:tcW w:w="407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772"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《行政许可法》、《医疗机构管理条例》、《医疗机构管理条例实施细则》、《医疗美容服务管理办法》</w:t>
            </w:r>
          </w:p>
        </w:tc>
        <w:tc>
          <w:tcPr>
            <w:tcW w:w="1418"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09" w:type="dxa"/>
            <w:noWrap w:val="0"/>
            <w:vAlign w:val="center"/>
          </w:tcPr>
          <w:p>
            <w:pPr>
              <w:spacing w:line="240" w:lineRule="exact"/>
              <w:jc w:val="center"/>
            </w:pPr>
            <w:r>
              <w:rPr>
                <w:rFonts w:hint="eastAsia" w:ascii="仿宋_GB2312" w:hAnsi="宋体" w:eastAsia="仿宋_GB2312"/>
                <w:color w:val="000000"/>
                <w:sz w:val="18"/>
                <w:szCs w:val="18"/>
              </w:rPr>
              <w:t>县卫健委</w:t>
            </w:r>
          </w:p>
        </w:tc>
        <w:tc>
          <w:tcPr>
            <w:tcW w:w="1063"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spacing w:line="240" w:lineRule="exact"/>
              <w:rPr>
                <w:rFonts w:ascii="仿宋_GB2312" w:hAnsi="宋体" w:eastAsia="仿宋_GB2312"/>
                <w:color w:val="000000"/>
                <w:sz w:val="18"/>
                <w:szCs w:val="18"/>
              </w:rPr>
            </w:pPr>
          </w:p>
        </w:tc>
        <w:tc>
          <w:tcPr>
            <w:tcW w:w="709" w:type="dxa"/>
            <w:vMerge w:val="continue"/>
            <w:noWrap w:val="0"/>
            <w:vAlign w:val="center"/>
          </w:tcPr>
          <w:p>
            <w:pPr>
              <w:spacing w:line="240" w:lineRule="exact"/>
              <w:rPr>
                <w:rFonts w:ascii="仿宋_GB2312" w:hAnsi="宋体" w:eastAsia="仿宋_GB2312"/>
                <w:color w:val="000000"/>
                <w:sz w:val="18"/>
                <w:szCs w:val="18"/>
              </w:rPr>
            </w:pPr>
          </w:p>
        </w:tc>
        <w:tc>
          <w:tcPr>
            <w:tcW w:w="1169" w:type="dxa"/>
            <w:vMerge w:val="continue"/>
            <w:noWrap w:val="0"/>
            <w:vAlign w:val="center"/>
          </w:tcPr>
          <w:p>
            <w:pPr>
              <w:spacing w:line="240" w:lineRule="exact"/>
              <w:rPr>
                <w:rFonts w:ascii="仿宋_GB2312" w:hAnsi="宋体" w:eastAsia="仿宋_GB2312"/>
                <w:color w:val="000000"/>
                <w:sz w:val="18"/>
                <w:szCs w:val="18"/>
              </w:rPr>
            </w:pPr>
          </w:p>
        </w:tc>
        <w:tc>
          <w:tcPr>
            <w:tcW w:w="407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结果信息——医疗机构名称、地址、诊疗科目、法定代表人、主要负责人、登记号、医疗机构执业许可证有效期限、审批机关</w:t>
            </w:r>
          </w:p>
        </w:tc>
        <w:tc>
          <w:tcPr>
            <w:tcW w:w="1772" w:type="dxa"/>
            <w:vMerge w:val="continue"/>
            <w:noWrap w:val="0"/>
            <w:vAlign w:val="center"/>
          </w:tcPr>
          <w:p>
            <w:pPr>
              <w:spacing w:line="240" w:lineRule="exact"/>
              <w:rPr>
                <w:rFonts w:ascii="仿宋_GB2312" w:hAnsi="宋体" w:eastAsia="仿宋_GB2312"/>
                <w:color w:val="000000"/>
                <w:sz w:val="18"/>
                <w:szCs w:val="18"/>
              </w:rPr>
            </w:pPr>
          </w:p>
        </w:tc>
        <w:tc>
          <w:tcPr>
            <w:tcW w:w="1418"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09" w:type="dxa"/>
            <w:noWrap w:val="0"/>
            <w:vAlign w:val="center"/>
          </w:tcPr>
          <w:p>
            <w:pPr>
              <w:spacing w:line="240" w:lineRule="exact"/>
              <w:jc w:val="center"/>
            </w:pPr>
            <w:r>
              <w:rPr>
                <w:rFonts w:hint="eastAsia" w:ascii="仿宋_GB2312" w:hAnsi="宋体" w:eastAsia="仿宋_GB2312"/>
                <w:color w:val="000000"/>
                <w:sz w:val="18"/>
                <w:szCs w:val="18"/>
              </w:rPr>
              <w:t>县卫健委</w:t>
            </w:r>
          </w:p>
        </w:tc>
        <w:tc>
          <w:tcPr>
            <w:tcW w:w="1063"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09"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01 行政许可类事项</w:t>
            </w:r>
          </w:p>
        </w:tc>
        <w:tc>
          <w:tcPr>
            <w:tcW w:w="1169" w:type="dxa"/>
            <w:vMerge w:val="restart"/>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医师执业注册（权限内）</w:t>
            </w:r>
          </w:p>
        </w:tc>
        <w:tc>
          <w:tcPr>
            <w:tcW w:w="4076"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772" w:type="dxa"/>
            <w:vMerge w:val="restart"/>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《行政许可法》、《执业医师法》、《医师执业注册管理办法》</w:t>
            </w:r>
          </w:p>
        </w:tc>
        <w:tc>
          <w:tcPr>
            <w:tcW w:w="1418" w:type="dxa"/>
            <w:noWrap w:val="0"/>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09" w:type="dxa"/>
            <w:noWrap w:val="0"/>
            <w:vAlign w:val="center"/>
          </w:tcPr>
          <w:p>
            <w:pPr>
              <w:spacing w:line="240" w:lineRule="exact"/>
              <w:jc w:val="center"/>
            </w:pPr>
            <w:r>
              <w:rPr>
                <w:rFonts w:hint="eastAsia" w:ascii="仿宋_GB2312" w:hAnsi="宋体" w:eastAsia="仿宋_GB2312"/>
                <w:color w:val="000000"/>
                <w:sz w:val="18"/>
                <w:szCs w:val="18"/>
              </w:rPr>
              <w:t>县卫健委</w:t>
            </w:r>
          </w:p>
        </w:tc>
        <w:tc>
          <w:tcPr>
            <w:tcW w:w="1063"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1169" w:type="dxa"/>
            <w:vMerge w:val="continue"/>
            <w:noWrap w:val="0"/>
            <w:vAlign w:val="center"/>
          </w:tcPr>
          <w:p>
            <w:pPr>
              <w:rPr>
                <w:rFonts w:ascii="仿宋_GB2312" w:hAnsi="宋体" w:eastAsia="仿宋_GB2312"/>
                <w:color w:val="000000"/>
                <w:sz w:val="18"/>
                <w:szCs w:val="18"/>
              </w:rPr>
            </w:pPr>
          </w:p>
        </w:tc>
        <w:tc>
          <w:tcPr>
            <w:tcW w:w="407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772" w:type="dxa"/>
            <w:vMerge w:val="continue"/>
            <w:noWrap w:val="0"/>
            <w:vAlign w:val="center"/>
          </w:tcPr>
          <w:p>
            <w:pPr>
              <w:jc w:val="center"/>
              <w:rPr>
                <w:rFonts w:ascii="仿宋_GB2312" w:hAnsi="宋体" w:eastAsia="仿宋_GB2312"/>
                <w:color w:val="000000"/>
                <w:sz w:val="18"/>
                <w:szCs w:val="18"/>
              </w:rPr>
            </w:pPr>
          </w:p>
        </w:tc>
        <w:tc>
          <w:tcPr>
            <w:tcW w:w="1418"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09" w:type="dxa"/>
            <w:noWrap w:val="0"/>
            <w:vAlign w:val="center"/>
          </w:tcPr>
          <w:p>
            <w:pPr>
              <w:jc w:val="center"/>
            </w:pPr>
            <w:r>
              <w:rPr>
                <w:rFonts w:hint="eastAsia" w:ascii="仿宋_GB2312" w:hAnsi="宋体" w:eastAsia="仿宋_GB2312"/>
                <w:color w:val="000000"/>
                <w:sz w:val="18"/>
                <w:szCs w:val="18"/>
              </w:rPr>
              <w:t>县卫健委</w:t>
            </w:r>
          </w:p>
        </w:tc>
        <w:tc>
          <w:tcPr>
            <w:tcW w:w="1063"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restart"/>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09" w:type="dxa"/>
            <w:vMerge w:val="restart"/>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69" w:type="dxa"/>
            <w:vMerge w:val="restart"/>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护士执业注册（权限内）</w:t>
            </w:r>
          </w:p>
        </w:tc>
        <w:tc>
          <w:tcPr>
            <w:tcW w:w="4076" w:type="dxa"/>
            <w:noWrap w:val="0"/>
            <w:vAlign w:val="center"/>
          </w:tcPr>
          <w:p>
            <w:pPr>
              <w:widowControl/>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772" w:type="dxa"/>
            <w:vMerge w:val="restart"/>
            <w:noWrap w:val="0"/>
            <w:vAlign w:val="center"/>
          </w:tcPr>
          <w:p>
            <w:pPr>
              <w:widowControl/>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《行政许可法》、《护士条例》、《国务院关于取消和下放一批行政许可事项的决定》、《国家卫生健康委关于做好下放护士执业注册审批有关工作的通知》、《护士执业注册管理办法》</w:t>
            </w:r>
          </w:p>
        </w:tc>
        <w:tc>
          <w:tcPr>
            <w:tcW w:w="1418" w:type="dxa"/>
            <w:noWrap w:val="0"/>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09" w:type="dxa"/>
            <w:noWrap w:val="0"/>
            <w:vAlign w:val="center"/>
          </w:tcPr>
          <w:p>
            <w:pPr>
              <w:spacing w:line="240" w:lineRule="exact"/>
              <w:jc w:val="center"/>
            </w:pPr>
            <w:r>
              <w:rPr>
                <w:rFonts w:hint="eastAsia" w:ascii="仿宋_GB2312" w:hAnsi="宋体" w:eastAsia="仿宋_GB2312"/>
                <w:color w:val="000000"/>
                <w:sz w:val="18"/>
                <w:szCs w:val="18"/>
              </w:rPr>
              <w:t>县卫健委</w:t>
            </w:r>
          </w:p>
        </w:tc>
        <w:tc>
          <w:tcPr>
            <w:tcW w:w="1063" w:type="dxa"/>
            <w:noWrap w:val="0"/>
            <w:vAlign w:val="center"/>
          </w:tcPr>
          <w:p>
            <w:pPr>
              <w:widowControl/>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widowControl/>
              <w:spacing w:line="240" w:lineRule="exact"/>
              <w:jc w:val="left"/>
              <w:rPr>
                <w:rFonts w:ascii="宋体" w:hAnsi="宋体" w:cs="宋体"/>
                <w:color w:val="000000"/>
                <w:kern w:val="0"/>
                <w:sz w:val="18"/>
                <w:szCs w:val="18"/>
              </w:rPr>
            </w:pPr>
          </w:p>
        </w:tc>
        <w:tc>
          <w:tcPr>
            <w:tcW w:w="709" w:type="dxa"/>
            <w:vMerge w:val="continue"/>
            <w:noWrap w:val="0"/>
            <w:vAlign w:val="center"/>
          </w:tcPr>
          <w:p>
            <w:pPr>
              <w:widowControl/>
              <w:spacing w:line="240" w:lineRule="exact"/>
              <w:jc w:val="left"/>
              <w:rPr>
                <w:rFonts w:ascii="宋体" w:hAnsi="宋体" w:cs="宋体"/>
                <w:bCs/>
                <w:color w:val="000000"/>
                <w:kern w:val="0"/>
                <w:sz w:val="15"/>
                <w:szCs w:val="15"/>
              </w:rPr>
            </w:pPr>
          </w:p>
        </w:tc>
        <w:tc>
          <w:tcPr>
            <w:tcW w:w="1169" w:type="dxa"/>
            <w:vMerge w:val="continue"/>
            <w:noWrap w:val="0"/>
            <w:vAlign w:val="center"/>
          </w:tcPr>
          <w:p>
            <w:pPr>
              <w:widowControl/>
              <w:spacing w:line="240" w:lineRule="exact"/>
              <w:jc w:val="left"/>
              <w:rPr>
                <w:rFonts w:ascii="宋体" w:hAnsi="宋体" w:cs="宋体"/>
                <w:color w:val="000000"/>
                <w:kern w:val="0"/>
                <w:sz w:val="15"/>
                <w:szCs w:val="15"/>
              </w:rPr>
            </w:pPr>
          </w:p>
        </w:tc>
        <w:tc>
          <w:tcPr>
            <w:tcW w:w="4076" w:type="dxa"/>
            <w:noWrap w:val="0"/>
            <w:vAlign w:val="center"/>
          </w:tcPr>
          <w:p>
            <w:pPr>
              <w:widowControl/>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772" w:type="dxa"/>
            <w:vMerge w:val="continue"/>
            <w:noWrap w:val="0"/>
            <w:vAlign w:val="center"/>
          </w:tcPr>
          <w:p>
            <w:pPr>
              <w:widowControl/>
              <w:spacing w:line="240" w:lineRule="exact"/>
              <w:jc w:val="left"/>
              <w:rPr>
                <w:rFonts w:ascii="仿宋_GB2312" w:hAnsi="宋体" w:eastAsia="仿宋_GB2312"/>
                <w:color w:val="000000"/>
                <w:sz w:val="18"/>
                <w:szCs w:val="18"/>
              </w:rPr>
            </w:pPr>
          </w:p>
        </w:tc>
        <w:tc>
          <w:tcPr>
            <w:tcW w:w="1418" w:type="dxa"/>
            <w:noWrap w:val="0"/>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09" w:type="dxa"/>
            <w:noWrap w:val="0"/>
            <w:vAlign w:val="center"/>
          </w:tcPr>
          <w:p>
            <w:pPr>
              <w:spacing w:line="240" w:lineRule="exact"/>
              <w:jc w:val="center"/>
            </w:pPr>
            <w:r>
              <w:rPr>
                <w:rFonts w:hint="eastAsia" w:ascii="仿宋_GB2312" w:hAnsi="宋体" w:eastAsia="仿宋_GB2312"/>
                <w:color w:val="000000"/>
                <w:sz w:val="18"/>
                <w:szCs w:val="18"/>
              </w:rPr>
              <w:t>县卫健委</w:t>
            </w:r>
          </w:p>
        </w:tc>
        <w:tc>
          <w:tcPr>
            <w:tcW w:w="1063" w:type="dxa"/>
            <w:noWrap w:val="0"/>
            <w:vAlign w:val="center"/>
          </w:tcPr>
          <w:p>
            <w:pPr>
              <w:widowControl/>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restart"/>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09" w:type="dxa"/>
            <w:vMerge w:val="restart"/>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69" w:type="dxa"/>
            <w:vMerge w:val="restart"/>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饮用水供水单位卫生许可（权限内）</w:t>
            </w:r>
          </w:p>
        </w:tc>
        <w:tc>
          <w:tcPr>
            <w:tcW w:w="4076" w:type="dxa"/>
            <w:noWrap w:val="0"/>
            <w:vAlign w:val="center"/>
          </w:tcPr>
          <w:p>
            <w:pPr>
              <w:widowControl/>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772" w:type="dxa"/>
            <w:vMerge w:val="restart"/>
            <w:noWrap w:val="0"/>
            <w:vAlign w:val="center"/>
          </w:tcPr>
          <w:p>
            <w:pPr>
              <w:widowControl/>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《行政许可法》、《传染病防治法》、《传染病防治法实施办法》、《国务院对确需保留的行政审批项目设定行政许可的决定》、《生活饮用水卫生监督管理办法》</w:t>
            </w:r>
          </w:p>
        </w:tc>
        <w:tc>
          <w:tcPr>
            <w:tcW w:w="1418" w:type="dxa"/>
            <w:noWrap w:val="0"/>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09" w:type="dxa"/>
            <w:noWrap w:val="0"/>
            <w:vAlign w:val="center"/>
          </w:tcPr>
          <w:p>
            <w:pPr>
              <w:spacing w:line="240" w:lineRule="exact"/>
              <w:jc w:val="center"/>
            </w:pPr>
            <w:r>
              <w:rPr>
                <w:rFonts w:hint="eastAsia" w:ascii="仿宋_GB2312" w:hAnsi="宋体" w:eastAsia="仿宋_GB2312"/>
                <w:color w:val="000000"/>
                <w:sz w:val="18"/>
                <w:szCs w:val="18"/>
              </w:rPr>
              <w:t>县卫健委</w:t>
            </w:r>
          </w:p>
        </w:tc>
        <w:tc>
          <w:tcPr>
            <w:tcW w:w="1063" w:type="dxa"/>
            <w:noWrap w:val="0"/>
            <w:vAlign w:val="center"/>
          </w:tcPr>
          <w:p>
            <w:pPr>
              <w:widowControl/>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widowControl/>
              <w:jc w:val="left"/>
              <w:rPr>
                <w:rFonts w:ascii="仿宋_GB2312" w:hAnsi="宋体" w:eastAsia="仿宋_GB2312"/>
                <w:color w:val="000000"/>
                <w:sz w:val="18"/>
                <w:szCs w:val="18"/>
              </w:rPr>
            </w:pPr>
          </w:p>
        </w:tc>
        <w:tc>
          <w:tcPr>
            <w:tcW w:w="709" w:type="dxa"/>
            <w:vMerge w:val="continue"/>
            <w:noWrap w:val="0"/>
            <w:vAlign w:val="center"/>
          </w:tcPr>
          <w:p>
            <w:pPr>
              <w:widowControl/>
              <w:jc w:val="left"/>
              <w:rPr>
                <w:rFonts w:ascii="仿宋_GB2312" w:hAnsi="宋体" w:eastAsia="仿宋_GB2312"/>
                <w:color w:val="000000"/>
                <w:sz w:val="18"/>
                <w:szCs w:val="18"/>
              </w:rPr>
            </w:pPr>
          </w:p>
        </w:tc>
        <w:tc>
          <w:tcPr>
            <w:tcW w:w="1169" w:type="dxa"/>
            <w:vMerge w:val="continue"/>
            <w:noWrap w:val="0"/>
            <w:vAlign w:val="center"/>
          </w:tcPr>
          <w:p>
            <w:pPr>
              <w:widowControl/>
              <w:jc w:val="left"/>
              <w:rPr>
                <w:rFonts w:ascii="仿宋_GB2312" w:hAnsi="宋体" w:eastAsia="仿宋_GB2312"/>
                <w:color w:val="000000"/>
                <w:sz w:val="18"/>
                <w:szCs w:val="18"/>
              </w:rPr>
            </w:pPr>
          </w:p>
        </w:tc>
        <w:tc>
          <w:tcPr>
            <w:tcW w:w="4076"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772" w:type="dxa"/>
            <w:vMerge w:val="continue"/>
            <w:noWrap w:val="0"/>
            <w:vAlign w:val="center"/>
          </w:tcPr>
          <w:p>
            <w:pPr>
              <w:widowControl/>
              <w:jc w:val="left"/>
              <w:rPr>
                <w:rFonts w:ascii="仿宋_GB2312" w:hAnsi="宋体" w:eastAsia="仿宋_GB2312"/>
                <w:color w:val="000000"/>
                <w:sz w:val="18"/>
                <w:szCs w:val="18"/>
              </w:rPr>
            </w:pPr>
          </w:p>
        </w:tc>
        <w:tc>
          <w:tcPr>
            <w:tcW w:w="1418"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09" w:type="dxa"/>
            <w:noWrap w:val="0"/>
            <w:vAlign w:val="center"/>
          </w:tcPr>
          <w:p>
            <w:pPr>
              <w:jc w:val="center"/>
            </w:pPr>
            <w:r>
              <w:rPr>
                <w:rFonts w:hint="eastAsia" w:ascii="仿宋_GB2312" w:hAnsi="宋体" w:eastAsia="仿宋_GB2312"/>
                <w:color w:val="000000"/>
                <w:sz w:val="18"/>
                <w:szCs w:val="18"/>
              </w:rPr>
              <w:t>县卫健委</w:t>
            </w:r>
          </w:p>
        </w:tc>
        <w:tc>
          <w:tcPr>
            <w:tcW w:w="1063"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restart"/>
            <w:noWrap w:val="0"/>
            <w:vAlign w:val="center"/>
          </w:tcPr>
          <w:p>
            <w:pPr>
              <w:widowControl/>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09" w:type="dxa"/>
            <w:vMerge w:val="restart"/>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69" w:type="dxa"/>
            <w:vMerge w:val="restart"/>
            <w:noWrap w:val="0"/>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076"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772" w:type="dxa"/>
            <w:vMerge w:val="restart"/>
            <w:noWrap w:val="0"/>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09" w:type="dxa"/>
            <w:vMerge w:val="restart"/>
            <w:noWrap w:val="0"/>
            <w:vAlign w:val="center"/>
          </w:tcPr>
          <w:p>
            <w:pPr>
              <w:spacing w:line="240" w:lineRule="exact"/>
              <w:jc w:val="center"/>
            </w:pPr>
            <w:r>
              <w:rPr>
                <w:rFonts w:hint="eastAsia" w:ascii="仿宋_GB2312" w:hAnsi="宋体" w:eastAsia="仿宋_GB2312"/>
                <w:color w:val="000000"/>
                <w:sz w:val="18"/>
                <w:szCs w:val="18"/>
              </w:rPr>
              <w:t>县卫健委</w:t>
            </w:r>
          </w:p>
        </w:tc>
        <w:tc>
          <w:tcPr>
            <w:tcW w:w="1063" w:type="dxa"/>
            <w:vMerge w:val="restart"/>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widowControl/>
              <w:spacing w:line="240" w:lineRule="exact"/>
              <w:rPr>
                <w:rFonts w:ascii="仿宋_GB2312" w:hAnsi="宋体" w:eastAsia="仿宋_GB2312"/>
                <w:color w:val="000000"/>
                <w:sz w:val="18"/>
                <w:szCs w:val="18"/>
              </w:rPr>
            </w:pPr>
          </w:p>
        </w:tc>
        <w:tc>
          <w:tcPr>
            <w:tcW w:w="709" w:type="dxa"/>
            <w:vMerge w:val="continue"/>
            <w:noWrap w:val="0"/>
            <w:vAlign w:val="center"/>
          </w:tcPr>
          <w:p>
            <w:pPr>
              <w:widowControl/>
              <w:spacing w:line="240" w:lineRule="exact"/>
              <w:rPr>
                <w:rFonts w:ascii="仿宋_GB2312" w:hAnsi="宋体" w:eastAsia="仿宋_GB2312"/>
                <w:color w:val="000000"/>
                <w:sz w:val="18"/>
                <w:szCs w:val="18"/>
              </w:rPr>
            </w:pPr>
          </w:p>
        </w:tc>
        <w:tc>
          <w:tcPr>
            <w:tcW w:w="1169" w:type="dxa"/>
            <w:vMerge w:val="continue"/>
            <w:noWrap w:val="0"/>
            <w:vAlign w:val="center"/>
          </w:tcPr>
          <w:p>
            <w:pPr>
              <w:widowControl/>
              <w:spacing w:line="240" w:lineRule="exact"/>
              <w:rPr>
                <w:rFonts w:ascii="仿宋_GB2312" w:hAnsi="宋体" w:eastAsia="仿宋_GB2312"/>
                <w:color w:val="000000"/>
                <w:sz w:val="18"/>
                <w:szCs w:val="18"/>
              </w:rPr>
            </w:pPr>
          </w:p>
        </w:tc>
        <w:tc>
          <w:tcPr>
            <w:tcW w:w="4076"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772" w:type="dxa"/>
            <w:vMerge w:val="continue"/>
            <w:noWrap w:val="0"/>
            <w:vAlign w:val="center"/>
          </w:tcPr>
          <w:p>
            <w:pPr>
              <w:widowControl/>
              <w:spacing w:line="240" w:lineRule="exact"/>
              <w:rPr>
                <w:rFonts w:ascii="仿宋_GB2312" w:hAnsi="宋体" w:eastAsia="仿宋_GB2312"/>
                <w:color w:val="000000"/>
                <w:sz w:val="18"/>
                <w:szCs w:val="18"/>
              </w:rPr>
            </w:pPr>
          </w:p>
        </w:tc>
        <w:tc>
          <w:tcPr>
            <w:tcW w:w="14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09" w:type="dxa"/>
            <w:vMerge w:val="continue"/>
            <w:noWrap w:val="0"/>
            <w:vAlign w:val="center"/>
          </w:tcPr>
          <w:p>
            <w:pPr>
              <w:widowControl/>
              <w:spacing w:line="240" w:lineRule="exact"/>
              <w:jc w:val="center"/>
              <w:rPr>
                <w:rFonts w:hint="eastAsia" w:ascii="仿宋_GB2312" w:hAnsi="宋体" w:eastAsia="仿宋_GB2312"/>
                <w:color w:val="000000"/>
                <w:sz w:val="18"/>
                <w:szCs w:val="18"/>
              </w:rPr>
            </w:pPr>
          </w:p>
        </w:tc>
        <w:tc>
          <w:tcPr>
            <w:tcW w:w="1063" w:type="dxa"/>
            <w:vMerge w:val="continue"/>
            <w:noWrap w:val="0"/>
            <w:vAlign w:val="center"/>
          </w:tcPr>
          <w:p>
            <w:pPr>
              <w:widowControl/>
              <w:spacing w:line="240" w:lineRule="exact"/>
              <w:rPr>
                <w:rFonts w:hint="eastAsia" w:ascii="仿宋_GB2312" w:hAnsi="宋体" w:eastAsia="仿宋_GB2312"/>
                <w:color w:val="000000"/>
                <w:sz w:val="18"/>
                <w:szCs w:val="18"/>
              </w:rPr>
            </w:pPr>
          </w:p>
        </w:tc>
        <w:tc>
          <w:tcPr>
            <w:tcW w:w="709" w:type="dxa"/>
            <w:noWrap w:val="0"/>
            <w:vAlign w:val="center"/>
          </w:tcPr>
          <w:p>
            <w:pPr>
              <w:widowControl/>
              <w:spacing w:line="240" w:lineRule="exact"/>
              <w:rPr>
                <w:rFonts w:hint="eastAsia" w:ascii="仿宋_GB2312" w:hAnsi="宋体" w:eastAsia="仿宋_GB2312"/>
                <w:color w:val="000000"/>
                <w:sz w:val="18"/>
                <w:szCs w:val="18"/>
              </w:rPr>
            </w:pPr>
          </w:p>
        </w:tc>
        <w:tc>
          <w:tcPr>
            <w:tcW w:w="709" w:type="dxa"/>
            <w:noWrap w:val="0"/>
            <w:vAlign w:val="center"/>
          </w:tcPr>
          <w:p>
            <w:pPr>
              <w:widowControl/>
              <w:spacing w:line="240" w:lineRule="exact"/>
              <w:rPr>
                <w:rFonts w:hint="eastAsia" w:ascii="仿宋_GB2312" w:hAnsi="宋体" w:eastAsia="仿宋_GB2312"/>
                <w:color w:val="000000"/>
                <w:sz w:val="18"/>
                <w:szCs w:val="18"/>
              </w:rPr>
            </w:pPr>
          </w:p>
        </w:tc>
        <w:tc>
          <w:tcPr>
            <w:tcW w:w="587" w:type="dxa"/>
            <w:noWrap w:val="0"/>
            <w:vAlign w:val="center"/>
          </w:tcPr>
          <w:p>
            <w:pPr>
              <w:widowControl/>
              <w:spacing w:line="240" w:lineRule="exact"/>
              <w:rPr>
                <w:rFonts w:hint="eastAsia" w:ascii="仿宋_GB2312" w:hAnsi="宋体" w:eastAsia="仿宋_GB2312"/>
                <w:color w:val="000000"/>
                <w:sz w:val="18"/>
                <w:szCs w:val="18"/>
              </w:rPr>
            </w:pPr>
          </w:p>
        </w:tc>
        <w:tc>
          <w:tcPr>
            <w:tcW w:w="709" w:type="dxa"/>
            <w:noWrap w:val="0"/>
            <w:vAlign w:val="center"/>
          </w:tcPr>
          <w:p>
            <w:pPr>
              <w:widowControl/>
              <w:spacing w:line="240" w:lineRule="exac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restart"/>
            <w:noWrap w:val="0"/>
            <w:vAlign w:val="center"/>
          </w:tcPr>
          <w:p>
            <w:pPr>
              <w:widowControl/>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09" w:type="dxa"/>
            <w:vMerge w:val="restart"/>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69" w:type="dxa"/>
            <w:vMerge w:val="restart"/>
            <w:noWrap w:val="0"/>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076"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772" w:type="dxa"/>
            <w:vMerge w:val="restart"/>
            <w:noWrap w:val="0"/>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18" w:type="dxa"/>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09" w:type="dxa"/>
            <w:vMerge w:val="restart"/>
            <w:noWrap w:val="0"/>
            <w:vAlign w:val="center"/>
          </w:tcPr>
          <w:p>
            <w:pPr>
              <w:spacing w:line="240" w:lineRule="exact"/>
              <w:jc w:val="center"/>
            </w:pPr>
            <w:r>
              <w:rPr>
                <w:rFonts w:hint="eastAsia" w:ascii="仿宋_GB2312" w:hAnsi="宋体" w:eastAsia="仿宋_GB2312"/>
                <w:color w:val="000000"/>
                <w:sz w:val="18"/>
                <w:szCs w:val="18"/>
              </w:rPr>
              <w:t>县卫健委</w:t>
            </w:r>
          </w:p>
        </w:tc>
        <w:tc>
          <w:tcPr>
            <w:tcW w:w="1063" w:type="dxa"/>
            <w:vMerge w:val="restart"/>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widowControl/>
              <w:rPr>
                <w:rFonts w:ascii="仿宋_GB2312" w:hAnsi="宋体" w:eastAsia="仿宋_GB2312"/>
                <w:color w:val="000000"/>
                <w:sz w:val="18"/>
                <w:szCs w:val="18"/>
              </w:rPr>
            </w:pPr>
          </w:p>
        </w:tc>
        <w:tc>
          <w:tcPr>
            <w:tcW w:w="709" w:type="dxa"/>
            <w:vMerge w:val="continue"/>
            <w:noWrap w:val="0"/>
            <w:vAlign w:val="center"/>
          </w:tcPr>
          <w:p>
            <w:pPr>
              <w:widowControl/>
              <w:rPr>
                <w:rFonts w:ascii="仿宋_GB2312" w:hAnsi="宋体" w:eastAsia="仿宋_GB2312"/>
                <w:color w:val="000000"/>
                <w:sz w:val="18"/>
                <w:szCs w:val="18"/>
              </w:rPr>
            </w:pPr>
          </w:p>
        </w:tc>
        <w:tc>
          <w:tcPr>
            <w:tcW w:w="1169" w:type="dxa"/>
            <w:vMerge w:val="continue"/>
            <w:noWrap w:val="0"/>
            <w:vAlign w:val="center"/>
          </w:tcPr>
          <w:p>
            <w:pPr>
              <w:widowControl/>
              <w:rPr>
                <w:rFonts w:ascii="仿宋_GB2312" w:hAnsi="宋体" w:eastAsia="仿宋_GB2312"/>
                <w:color w:val="000000"/>
                <w:sz w:val="18"/>
                <w:szCs w:val="18"/>
              </w:rPr>
            </w:pPr>
          </w:p>
        </w:tc>
        <w:tc>
          <w:tcPr>
            <w:tcW w:w="4076"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结果信息——放射诊疗许可证信息</w:t>
            </w:r>
          </w:p>
        </w:tc>
        <w:tc>
          <w:tcPr>
            <w:tcW w:w="1772" w:type="dxa"/>
            <w:vMerge w:val="continue"/>
            <w:noWrap w:val="0"/>
            <w:vAlign w:val="center"/>
          </w:tcPr>
          <w:p>
            <w:pPr>
              <w:widowControl/>
              <w:rPr>
                <w:rFonts w:ascii="仿宋_GB2312" w:hAnsi="宋体" w:eastAsia="仿宋_GB2312"/>
                <w:color w:val="000000"/>
                <w:sz w:val="18"/>
                <w:szCs w:val="18"/>
              </w:rPr>
            </w:pPr>
          </w:p>
        </w:tc>
        <w:tc>
          <w:tcPr>
            <w:tcW w:w="1418"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09" w:type="dxa"/>
            <w:vMerge w:val="continue"/>
            <w:noWrap w:val="0"/>
            <w:vAlign w:val="center"/>
          </w:tcPr>
          <w:p>
            <w:pPr>
              <w:widowControl/>
              <w:jc w:val="center"/>
              <w:rPr>
                <w:rFonts w:hint="eastAsia" w:ascii="仿宋_GB2312" w:hAnsi="宋体" w:eastAsia="仿宋_GB2312"/>
                <w:color w:val="000000"/>
                <w:sz w:val="18"/>
                <w:szCs w:val="18"/>
              </w:rPr>
            </w:pPr>
          </w:p>
        </w:tc>
        <w:tc>
          <w:tcPr>
            <w:tcW w:w="1063" w:type="dxa"/>
            <w:vMerge w:val="continue"/>
            <w:noWrap w:val="0"/>
            <w:vAlign w:val="center"/>
          </w:tcPr>
          <w:p>
            <w:pPr>
              <w:widowControl/>
              <w:rPr>
                <w:rFonts w:hint="eastAsia" w:ascii="仿宋_GB2312" w:hAnsi="宋体" w:eastAsia="仿宋_GB2312"/>
                <w:color w:val="000000"/>
                <w:sz w:val="18"/>
                <w:szCs w:val="18"/>
              </w:rPr>
            </w:pP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09"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69"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乡村医生执业注册（包括乡村医生执业再注册）</w:t>
            </w:r>
          </w:p>
        </w:tc>
        <w:tc>
          <w:tcPr>
            <w:tcW w:w="407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772"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18"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09" w:type="dxa"/>
            <w:vMerge w:val="restart"/>
            <w:noWrap w:val="0"/>
            <w:vAlign w:val="center"/>
          </w:tcPr>
          <w:p>
            <w:pPr>
              <w:jc w:val="center"/>
            </w:pPr>
            <w:r>
              <w:rPr>
                <w:rFonts w:hint="eastAsia" w:ascii="仿宋_GB2312" w:hAnsi="宋体" w:eastAsia="仿宋_GB2312"/>
                <w:color w:val="000000"/>
                <w:sz w:val="18"/>
                <w:szCs w:val="18"/>
              </w:rPr>
              <w:t>县卫健委</w:t>
            </w:r>
          </w:p>
        </w:tc>
        <w:tc>
          <w:tcPr>
            <w:tcW w:w="1063"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widowControl/>
              <w:rPr>
                <w:rFonts w:ascii="仿宋_GB2312" w:hAnsi="宋体" w:eastAsia="仿宋_GB2312"/>
                <w:color w:val="000000"/>
                <w:sz w:val="18"/>
                <w:szCs w:val="18"/>
              </w:rPr>
            </w:pPr>
          </w:p>
        </w:tc>
        <w:tc>
          <w:tcPr>
            <w:tcW w:w="709" w:type="dxa"/>
            <w:vMerge w:val="continue"/>
            <w:noWrap w:val="0"/>
            <w:vAlign w:val="center"/>
          </w:tcPr>
          <w:p>
            <w:pPr>
              <w:widowControl/>
              <w:rPr>
                <w:rFonts w:ascii="仿宋_GB2312" w:hAnsi="宋体" w:eastAsia="仿宋_GB2312"/>
                <w:color w:val="000000"/>
                <w:sz w:val="18"/>
                <w:szCs w:val="18"/>
              </w:rPr>
            </w:pPr>
          </w:p>
        </w:tc>
        <w:tc>
          <w:tcPr>
            <w:tcW w:w="1169" w:type="dxa"/>
            <w:vMerge w:val="continue"/>
            <w:noWrap w:val="0"/>
            <w:vAlign w:val="center"/>
          </w:tcPr>
          <w:p>
            <w:pPr>
              <w:widowControl/>
              <w:rPr>
                <w:rFonts w:ascii="仿宋_GB2312" w:hAnsi="宋体" w:eastAsia="仿宋_GB2312"/>
                <w:color w:val="000000"/>
                <w:sz w:val="18"/>
                <w:szCs w:val="18"/>
              </w:rPr>
            </w:pPr>
          </w:p>
        </w:tc>
        <w:tc>
          <w:tcPr>
            <w:tcW w:w="4076"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772" w:type="dxa"/>
            <w:vMerge w:val="continue"/>
            <w:noWrap w:val="0"/>
            <w:vAlign w:val="center"/>
          </w:tcPr>
          <w:p>
            <w:pPr>
              <w:widowControl/>
              <w:rPr>
                <w:rFonts w:ascii="仿宋_GB2312" w:hAnsi="宋体" w:eastAsia="仿宋_GB2312"/>
                <w:color w:val="000000"/>
                <w:sz w:val="18"/>
                <w:szCs w:val="18"/>
              </w:rPr>
            </w:pPr>
          </w:p>
        </w:tc>
        <w:tc>
          <w:tcPr>
            <w:tcW w:w="1418"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09" w:type="dxa"/>
            <w:vMerge w:val="continue"/>
            <w:noWrap w:val="0"/>
            <w:vAlign w:val="center"/>
          </w:tcPr>
          <w:p>
            <w:pPr>
              <w:widowControl/>
              <w:jc w:val="center"/>
              <w:rPr>
                <w:rFonts w:hint="eastAsia" w:ascii="仿宋_GB2312" w:hAnsi="宋体" w:eastAsia="仿宋_GB2312"/>
                <w:color w:val="000000"/>
                <w:sz w:val="18"/>
                <w:szCs w:val="18"/>
              </w:rPr>
            </w:pPr>
          </w:p>
        </w:tc>
        <w:tc>
          <w:tcPr>
            <w:tcW w:w="1063" w:type="dxa"/>
            <w:vMerge w:val="continue"/>
            <w:noWrap w:val="0"/>
            <w:vAlign w:val="center"/>
          </w:tcPr>
          <w:p>
            <w:pPr>
              <w:widowControl/>
              <w:rPr>
                <w:rFonts w:hint="eastAsia" w:ascii="仿宋_GB2312" w:hAnsi="宋体" w:eastAsia="仿宋_GB2312"/>
                <w:color w:val="000000"/>
                <w:sz w:val="18"/>
                <w:szCs w:val="18"/>
              </w:rPr>
            </w:pP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09"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69"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对不符合规定条件的医疗机构擅自从事精神障碍诊断、治疗的处罚</w:t>
            </w:r>
          </w:p>
        </w:tc>
        <w:tc>
          <w:tcPr>
            <w:tcW w:w="407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772"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《行政处罚法》、《精神卫生法》、《卫生行政处罚程序》</w:t>
            </w:r>
          </w:p>
        </w:tc>
        <w:tc>
          <w:tcPr>
            <w:tcW w:w="1418"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09" w:type="dxa"/>
            <w:vMerge w:val="restart"/>
            <w:noWrap w:val="0"/>
            <w:vAlign w:val="center"/>
          </w:tcPr>
          <w:p>
            <w:pPr>
              <w:jc w:val="center"/>
            </w:pPr>
            <w:r>
              <w:rPr>
                <w:rFonts w:hint="eastAsia" w:ascii="仿宋_GB2312" w:hAnsi="宋体" w:eastAsia="仿宋_GB2312"/>
                <w:color w:val="000000"/>
                <w:sz w:val="18"/>
                <w:szCs w:val="18"/>
              </w:rPr>
              <w:t>县卫健委</w:t>
            </w:r>
          </w:p>
        </w:tc>
        <w:tc>
          <w:tcPr>
            <w:tcW w:w="1063"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widowControl/>
              <w:rPr>
                <w:rFonts w:ascii="仿宋_GB2312" w:hAnsi="宋体" w:eastAsia="仿宋_GB2312"/>
                <w:color w:val="000000"/>
                <w:sz w:val="18"/>
                <w:szCs w:val="18"/>
              </w:rPr>
            </w:pPr>
          </w:p>
        </w:tc>
        <w:tc>
          <w:tcPr>
            <w:tcW w:w="709" w:type="dxa"/>
            <w:vMerge w:val="continue"/>
            <w:noWrap w:val="0"/>
            <w:vAlign w:val="center"/>
          </w:tcPr>
          <w:p>
            <w:pPr>
              <w:widowControl/>
              <w:rPr>
                <w:rFonts w:ascii="仿宋_GB2312" w:hAnsi="宋体" w:eastAsia="仿宋_GB2312"/>
                <w:color w:val="000000"/>
                <w:sz w:val="18"/>
                <w:szCs w:val="18"/>
              </w:rPr>
            </w:pPr>
          </w:p>
        </w:tc>
        <w:tc>
          <w:tcPr>
            <w:tcW w:w="1169" w:type="dxa"/>
            <w:vMerge w:val="continue"/>
            <w:noWrap w:val="0"/>
            <w:vAlign w:val="center"/>
          </w:tcPr>
          <w:p>
            <w:pPr>
              <w:widowControl/>
              <w:rPr>
                <w:rFonts w:ascii="仿宋_GB2312" w:hAnsi="宋体" w:eastAsia="仿宋_GB2312"/>
                <w:color w:val="000000"/>
                <w:sz w:val="18"/>
                <w:szCs w:val="18"/>
              </w:rPr>
            </w:pPr>
          </w:p>
        </w:tc>
        <w:tc>
          <w:tcPr>
            <w:tcW w:w="4076"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772" w:type="dxa"/>
            <w:vMerge w:val="continue"/>
            <w:noWrap w:val="0"/>
            <w:vAlign w:val="center"/>
          </w:tcPr>
          <w:p>
            <w:pPr>
              <w:widowControl/>
              <w:rPr>
                <w:rFonts w:ascii="仿宋_GB2312" w:hAnsi="宋体" w:eastAsia="仿宋_GB2312"/>
                <w:color w:val="000000"/>
                <w:sz w:val="18"/>
                <w:szCs w:val="18"/>
              </w:rPr>
            </w:pPr>
          </w:p>
        </w:tc>
        <w:tc>
          <w:tcPr>
            <w:tcW w:w="1418" w:type="dxa"/>
            <w:vMerge w:val="continue"/>
            <w:noWrap w:val="0"/>
            <w:vAlign w:val="center"/>
          </w:tcPr>
          <w:p>
            <w:pPr>
              <w:widowControl/>
              <w:rPr>
                <w:rFonts w:hint="eastAsia" w:ascii="仿宋_GB2312" w:hAnsi="宋体" w:eastAsia="仿宋_GB2312"/>
                <w:color w:val="000000"/>
                <w:sz w:val="18"/>
                <w:szCs w:val="18"/>
              </w:rPr>
            </w:pPr>
          </w:p>
        </w:tc>
        <w:tc>
          <w:tcPr>
            <w:tcW w:w="709" w:type="dxa"/>
            <w:vMerge w:val="continue"/>
            <w:noWrap w:val="0"/>
            <w:vAlign w:val="center"/>
          </w:tcPr>
          <w:p>
            <w:pPr>
              <w:widowControl/>
              <w:jc w:val="center"/>
              <w:rPr>
                <w:rFonts w:hint="eastAsia" w:ascii="仿宋_GB2312" w:hAnsi="宋体" w:eastAsia="仿宋_GB2312"/>
                <w:color w:val="000000"/>
                <w:sz w:val="18"/>
                <w:szCs w:val="18"/>
              </w:rPr>
            </w:pPr>
          </w:p>
        </w:tc>
        <w:tc>
          <w:tcPr>
            <w:tcW w:w="1063"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09" w:type="dxa"/>
            <w:noWrap w:val="0"/>
            <w:vAlign w:val="center"/>
          </w:tcPr>
          <w:p>
            <w:pPr>
              <w:widowControl/>
              <w:jc w:val="center"/>
              <w:rPr>
                <w:rFonts w:ascii="仿宋_GB2312" w:hAnsi="宋体" w:eastAsia="仿宋_GB2312"/>
                <w:color w:val="000000"/>
                <w:sz w:val="18"/>
                <w:szCs w:val="18"/>
              </w:rPr>
            </w:pP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87"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widowControl/>
              <w:rPr>
                <w:rFonts w:ascii="仿宋_GB2312" w:hAnsi="宋体" w:eastAsia="仿宋_GB2312"/>
                <w:color w:val="000000"/>
                <w:sz w:val="18"/>
                <w:szCs w:val="18"/>
              </w:rPr>
            </w:pPr>
          </w:p>
        </w:tc>
        <w:tc>
          <w:tcPr>
            <w:tcW w:w="709" w:type="dxa"/>
            <w:vMerge w:val="continue"/>
            <w:noWrap w:val="0"/>
            <w:vAlign w:val="center"/>
          </w:tcPr>
          <w:p>
            <w:pPr>
              <w:widowControl/>
              <w:rPr>
                <w:rFonts w:ascii="仿宋_GB2312" w:hAnsi="宋体" w:eastAsia="仿宋_GB2312"/>
                <w:color w:val="000000"/>
                <w:sz w:val="18"/>
                <w:szCs w:val="18"/>
              </w:rPr>
            </w:pPr>
          </w:p>
        </w:tc>
        <w:tc>
          <w:tcPr>
            <w:tcW w:w="1169" w:type="dxa"/>
            <w:vMerge w:val="continue"/>
            <w:noWrap w:val="0"/>
            <w:vAlign w:val="center"/>
          </w:tcPr>
          <w:p>
            <w:pPr>
              <w:widowControl/>
              <w:rPr>
                <w:rFonts w:ascii="仿宋_GB2312" w:hAnsi="宋体" w:eastAsia="仿宋_GB2312"/>
                <w:color w:val="000000"/>
                <w:sz w:val="18"/>
                <w:szCs w:val="18"/>
              </w:rPr>
            </w:pPr>
          </w:p>
        </w:tc>
        <w:tc>
          <w:tcPr>
            <w:tcW w:w="4076"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772" w:type="dxa"/>
            <w:vMerge w:val="continue"/>
            <w:noWrap w:val="0"/>
            <w:vAlign w:val="center"/>
          </w:tcPr>
          <w:p>
            <w:pPr>
              <w:widowControl/>
              <w:rPr>
                <w:rFonts w:ascii="仿宋_GB2312" w:hAnsi="宋体" w:eastAsia="仿宋_GB2312"/>
                <w:color w:val="000000"/>
                <w:sz w:val="18"/>
                <w:szCs w:val="18"/>
              </w:rPr>
            </w:pPr>
          </w:p>
        </w:tc>
        <w:tc>
          <w:tcPr>
            <w:tcW w:w="1418"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09" w:type="dxa"/>
            <w:vMerge w:val="continue"/>
            <w:noWrap w:val="0"/>
            <w:vAlign w:val="center"/>
          </w:tcPr>
          <w:p>
            <w:pPr>
              <w:widowControl/>
              <w:jc w:val="center"/>
              <w:rPr>
                <w:rFonts w:hint="eastAsia" w:ascii="仿宋_GB2312" w:hAnsi="宋体" w:eastAsia="仿宋_GB2312"/>
                <w:color w:val="000000"/>
                <w:sz w:val="18"/>
                <w:szCs w:val="18"/>
              </w:rPr>
            </w:pPr>
          </w:p>
        </w:tc>
        <w:tc>
          <w:tcPr>
            <w:tcW w:w="1063"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rPr>
        <w:tc>
          <w:tcPr>
            <w:tcW w:w="532"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09"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69"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对医疗机构及其工作人员拒绝对送诊的疑似精神障碍患者作出诊断及对依照《精神卫生法》第三十条第二款规定实施住院治疗的患者未及时进行检查评估或者未根据评估结果作出处理的处罚</w:t>
            </w:r>
          </w:p>
        </w:tc>
        <w:tc>
          <w:tcPr>
            <w:tcW w:w="407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772"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《行政处罚法》、《精神卫生法》、《卫生行政处罚程序》</w:t>
            </w:r>
          </w:p>
        </w:tc>
        <w:tc>
          <w:tcPr>
            <w:tcW w:w="1418"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09" w:type="dxa"/>
            <w:vMerge w:val="restart"/>
            <w:noWrap w:val="0"/>
            <w:vAlign w:val="center"/>
          </w:tcPr>
          <w:p>
            <w:pPr>
              <w:jc w:val="center"/>
            </w:pPr>
            <w:r>
              <w:rPr>
                <w:rFonts w:hint="eastAsia" w:ascii="仿宋_GB2312" w:hAnsi="宋体" w:eastAsia="仿宋_GB2312"/>
                <w:color w:val="000000"/>
                <w:sz w:val="18"/>
                <w:szCs w:val="18"/>
              </w:rPr>
              <w:t>县卫健委</w:t>
            </w:r>
          </w:p>
        </w:tc>
        <w:tc>
          <w:tcPr>
            <w:tcW w:w="1063"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widowControl/>
              <w:rPr>
                <w:rFonts w:ascii="仿宋_GB2312" w:hAnsi="宋体" w:eastAsia="仿宋_GB2312"/>
                <w:color w:val="000000"/>
                <w:sz w:val="18"/>
                <w:szCs w:val="18"/>
              </w:rPr>
            </w:pPr>
          </w:p>
        </w:tc>
        <w:tc>
          <w:tcPr>
            <w:tcW w:w="709" w:type="dxa"/>
            <w:vMerge w:val="continue"/>
            <w:noWrap w:val="0"/>
            <w:vAlign w:val="center"/>
          </w:tcPr>
          <w:p>
            <w:pPr>
              <w:widowControl/>
              <w:rPr>
                <w:rFonts w:ascii="仿宋_GB2312" w:hAnsi="宋体" w:eastAsia="仿宋_GB2312"/>
                <w:color w:val="000000"/>
                <w:sz w:val="18"/>
                <w:szCs w:val="18"/>
              </w:rPr>
            </w:pPr>
          </w:p>
        </w:tc>
        <w:tc>
          <w:tcPr>
            <w:tcW w:w="1169" w:type="dxa"/>
            <w:vMerge w:val="continue"/>
            <w:noWrap w:val="0"/>
            <w:vAlign w:val="center"/>
          </w:tcPr>
          <w:p>
            <w:pPr>
              <w:widowControl/>
              <w:rPr>
                <w:rFonts w:ascii="仿宋_GB2312" w:hAnsi="宋体" w:eastAsia="仿宋_GB2312"/>
                <w:color w:val="000000"/>
                <w:sz w:val="18"/>
                <w:szCs w:val="18"/>
              </w:rPr>
            </w:pPr>
          </w:p>
        </w:tc>
        <w:tc>
          <w:tcPr>
            <w:tcW w:w="4076"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772" w:type="dxa"/>
            <w:vMerge w:val="continue"/>
            <w:noWrap w:val="0"/>
            <w:vAlign w:val="center"/>
          </w:tcPr>
          <w:p>
            <w:pPr>
              <w:widowControl/>
              <w:rPr>
                <w:rFonts w:ascii="仿宋_GB2312" w:hAnsi="宋体" w:eastAsia="仿宋_GB2312"/>
                <w:color w:val="000000"/>
                <w:sz w:val="18"/>
                <w:szCs w:val="18"/>
              </w:rPr>
            </w:pPr>
          </w:p>
        </w:tc>
        <w:tc>
          <w:tcPr>
            <w:tcW w:w="1418" w:type="dxa"/>
            <w:vMerge w:val="continue"/>
            <w:noWrap w:val="0"/>
            <w:vAlign w:val="center"/>
          </w:tcPr>
          <w:p>
            <w:pPr>
              <w:widowControl/>
              <w:rPr>
                <w:rFonts w:hint="eastAsia" w:ascii="仿宋_GB2312" w:hAnsi="宋体" w:eastAsia="仿宋_GB2312"/>
                <w:color w:val="000000"/>
                <w:sz w:val="18"/>
                <w:szCs w:val="18"/>
              </w:rPr>
            </w:pPr>
          </w:p>
        </w:tc>
        <w:tc>
          <w:tcPr>
            <w:tcW w:w="709" w:type="dxa"/>
            <w:vMerge w:val="continue"/>
            <w:noWrap w:val="0"/>
            <w:vAlign w:val="center"/>
          </w:tcPr>
          <w:p>
            <w:pPr>
              <w:widowControl/>
              <w:rPr>
                <w:rFonts w:hint="eastAsia" w:ascii="仿宋_GB2312" w:hAnsi="宋体" w:eastAsia="仿宋_GB2312"/>
                <w:color w:val="000000"/>
                <w:sz w:val="18"/>
                <w:szCs w:val="18"/>
              </w:rPr>
            </w:pPr>
          </w:p>
        </w:tc>
        <w:tc>
          <w:tcPr>
            <w:tcW w:w="1063"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09" w:type="dxa"/>
            <w:noWrap w:val="0"/>
            <w:vAlign w:val="center"/>
          </w:tcPr>
          <w:p>
            <w:pPr>
              <w:widowControl/>
              <w:jc w:val="center"/>
              <w:rPr>
                <w:rFonts w:ascii="仿宋_GB2312" w:hAnsi="宋体" w:eastAsia="仿宋_GB2312"/>
                <w:color w:val="000000"/>
                <w:sz w:val="18"/>
                <w:szCs w:val="18"/>
              </w:rPr>
            </w:pP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87"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532" w:type="dxa"/>
            <w:vMerge w:val="continue"/>
            <w:noWrap w:val="0"/>
            <w:vAlign w:val="center"/>
          </w:tcPr>
          <w:p>
            <w:pPr>
              <w:widowControl/>
              <w:rPr>
                <w:rFonts w:ascii="仿宋_GB2312" w:hAnsi="宋体" w:eastAsia="仿宋_GB2312"/>
                <w:color w:val="000000"/>
                <w:sz w:val="18"/>
                <w:szCs w:val="18"/>
              </w:rPr>
            </w:pPr>
          </w:p>
        </w:tc>
        <w:tc>
          <w:tcPr>
            <w:tcW w:w="709" w:type="dxa"/>
            <w:vMerge w:val="continue"/>
            <w:noWrap w:val="0"/>
            <w:vAlign w:val="center"/>
          </w:tcPr>
          <w:p>
            <w:pPr>
              <w:widowControl/>
              <w:rPr>
                <w:rFonts w:ascii="仿宋_GB2312" w:hAnsi="宋体" w:eastAsia="仿宋_GB2312"/>
                <w:color w:val="000000"/>
                <w:sz w:val="18"/>
                <w:szCs w:val="18"/>
              </w:rPr>
            </w:pPr>
          </w:p>
        </w:tc>
        <w:tc>
          <w:tcPr>
            <w:tcW w:w="1169" w:type="dxa"/>
            <w:vMerge w:val="continue"/>
            <w:noWrap w:val="0"/>
            <w:vAlign w:val="center"/>
          </w:tcPr>
          <w:p>
            <w:pPr>
              <w:widowControl/>
              <w:rPr>
                <w:rFonts w:ascii="仿宋_GB2312" w:hAnsi="宋体" w:eastAsia="仿宋_GB2312"/>
                <w:color w:val="000000"/>
                <w:sz w:val="18"/>
                <w:szCs w:val="18"/>
              </w:rPr>
            </w:pPr>
          </w:p>
        </w:tc>
        <w:tc>
          <w:tcPr>
            <w:tcW w:w="4076"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772" w:type="dxa"/>
            <w:vMerge w:val="continue"/>
            <w:noWrap w:val="0"/>
            <w:vAlign w:val="center"/>
          </w:tcPr>
          <w:p>
            <w:pPr>
              <w:widowControl/>
              <w:rPr>
                <w:rFonts w:ascii="仿宋_GB2312" w:hAnsi="宋体" w:eastAsia="仿宋_GB2312"/>
                <w:color w:val="000000"/>
                <w:sz w:val="18"/>
                <w:szCs w:val="18"/>
              </w:rPr>
            </w:pPr>
          </w:p>
        </w:tc>
        <w:tc>
          <w:tcPr>
            <w:tcW w:w="1418"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09" w:type="dxa"/>
            <w:vMerge w:val="continue"/>
            <w:noWrap w:val="0"/>
            <w:vAlign w:val="center"/>
          </w:tcPr>
          <w:p>
            <w:pPr>
              <w:widowControl/>
              <w:rPr>
                <w:rFonts w:hint="eastAsia" w:ascii="仿宋_GB2312" w:hAnsi="宋体" w:eastAsia="仿宋_GB2312"/>
                <w:color w:val="000000"/>
                <w:sz w:val="18"/>
                <w:szCs w:val="18"/>
              </w:rPr>
            </w:pPr>
          </w:p>
        </w:tc>
        <w:tc>
          <w:tcPr>
            <w:tcW w:w="1063"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87"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pStyle w:val="2"/>
        <w:jc w:val="center"/>
        <w:rPr>
          <w:rFonts w:hint="eastAsia" w:ascii="方正小标宋_GBK" w:hAnsi="方正小标宋_GBK" w:eastAsia="方正小标宋_GBK"/>
          <w:b w:val="0"/>
          <w:bCs w:val="0"/>
          <w:sz w:val="30"/>
        </w:rPr>
      </w:pPr>
    </w:p>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D05A96"/>
    <w:rsid w:val="450C7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2021-12-07T08:38:00Z</dcterms:created>
  <dc:creator>Administrator</dc:creator>
  <cp:lastModifiedBy>Wxc</cp:lastModifiedBy>
  <dcterms:modified xsi:type="dcterms:W3CDTF">2021-12-08T07:17:12Z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F53607B4A6D147AE86AFED456D7B68FA</vt:lpwstr>
  </property>
</Properties>
</file>