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lang w:val="en-US" w:eastAsia="zh-CN"/>
        </w:rPr>
        <w:t>上犹县</w:t>
      </w:r>
      <w:r>
        <w:rPr>
          <w:rFonts w:hint="eastAsia" w:ascii="方正小标宋_GBK" w:hAnsi="方正小标宋_GBK" w:eastAsia="方正小标宋_GBK"/>
          <w:b w:val="0"/>
          <w:bCs w:val="0"/>
          <w:sz w:val="30"/>
        </w:rPr>
        <w:t>公共资源交易领域</w:t>
      </w:r>
      <w:r>
        <w:rPr>
          <w:rFonts w:hint="eastAsia" w:ascii="方正小标宋_GBK" w:hAnsi="方正小标宋_GBK" w:eastAsia="方正小标宋_GBK"/>
          <w:b w:val="0"/>
          <w:bCs w:val="0"/>
          <w:sz w:val="30"/>
          <w:lang w:val="en-US" w:eastAsia="zh-CN"/>
        </w:rPr>
        <w:t>基层政务公开</w:t>
      </w:r>
      <w:bookmarkStart w:id="1" w:name="_GoBack"/>
      <w:bookmarkEnd w:id="1"/>
      <w:r>
        <w:rPr>
          <w:rFonts w:hint="eastAsia" w:ascii="方正小标宋_GBK" w:hAnsi="方正小标宋_GBK" w:eastAsia="方正小标宋_GBK"/>
          <w:b w:val="0"/>
          <w:bCs w:val="0"/>
          <w:sz w:val="30"/>
        </w:rPr>
        <w:t>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工程建设项目招标投标信息</w:t>
            </w:r>
          </w:p>
        </w:tc>
        <w:tc>
          <w:tcPr>
            <w:tcW w:w="77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审批核准信息</w:t>
            </w:r>
          </w:p>
        </w:tc>
        <w:tc>
          <w:tcPr>
            <w:tcW w:w="336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招标内容、招标范围、招标组织形式、招标方式、招标估算金额、招标事项审核或核准部门。</w:t>
            </w:r>
          </w:p>
        </w:tc>
        <w:tc>
          <w:tcPr>
            <w:tcW w:w="23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《招标投标法实施条例》、《政府信息公开条例》、《国务院办公厅关于推进公共资源配置领域政府信息公开的意见》</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信息形成之日起20个工作日内</w:t>
            </w:r>
          </w:p>
        </w:tc>
        <w:tc>
          <w:tcPr>
            <w:tcW w:w="9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负责管理的部门分别公开、公共资源交易中心</w:t>
            </w:r>
          </w:p>
        </w:tc>
        <w:tc>
          <w:tcPr>
            <w:tcW w:w="18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r>
              <w:rPr>
                <w:rFonts w:ascii="仿宋_GB2312" w:hAnsi="Times New Roman" w:eastAsia="仿宋_GB2312"/>
                <w:sz w:val="18"/>
                <w:szCs w:val="18"/>
              </w:rPr>
              <w:t></w:t>
            </w:r>
            <w:r>
              <w:rPr>
                <w:rFonts w:hint="eastAsia" w:ascii="仿宋_GB2312" w:hAnsi="Times New Roman" w:eastAsia="仿宋_GB2312"/>
                <w:sz w:val="18"/>
                <w:szCs w:val="18"/>
              </w:rPr>
              <w:t>■招标投标公共服务平台■公共资源交易平台■电子招标投标交易平台</w:t>
            </w:r>
          </w:p>
        </w:tc>
        <w:tc>
          <w:tcPr>
            <w:tcW w:w="720" w:type="dxa"/>
            <w:noWrap w:val="0"/>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w:t>
            </w:r>
          </w:p>
        </w:tc>
        <w:tc>
          <w:tcPr>
            <w:tcW w:w="90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88" w:type="dxa"/>
            <w:noWrap w:val="0"/>
            <w:vAlign w:val="center"/>
          </w:tcPr>
          <w:p>
            <w:pPr>
              <w:spacing w:line="240" w:lineRule="exact"/>
              <w:ind w:firstLine="180" w:firstLineChars="100"/>
              <w:rPr>
                <w:rFonts w:ascii="仿宋_GB2312" w:hAnsi="Times New Roman" w:eastAsia="仿宋_GB2312"/>
                <w:sz w:val="18"/>
                <w:szCs w:val="18"/>
              </w:rPr>
            </w:pPr>
            <w:r>
              <w:rPr>
                <w:rFonts w:hint="eastAsia" w:ascii="仿宋_GB2312" w:hAnsi="Times New Roman"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工程建设项目招标投标信息　</w:t>
            </w:r>
          </w:p>
        </w:tc>
        <w:tc>
          <w:tcPr>
            <w:tcW w:w="77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资格预审公告</w:t>
            </w:r>
          </w:p>
        </w:tc>
        <w:tc>
          <w:tcPr>
            <w:tcW w:w="336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spacing w:line="240" w:lineRule="exact"/>
              <w:ind w:firstLine="270" w:firstLineChars="150"/>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9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招标人或者其委托的招标代理机构</w:t>
            </w:r>
          </w:p>
        </w:tc>
        <w:tc>
          <w:tcPr>
            <w:tcW w:w="185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■政府网站■招标投标公共服务平台</w:t>
            </w:r>
            <w:r>
              <w:rPr>
                <w:rFonts w:ascii="仿宋_GB2312" w:hAnsi="Times New Roman" w:eastAsia="仿宋_GB2312"/>
                <w:sz w:val="18"/>
                <w:szCs w:val="18"/>
              </w:rPr>
              <w:br w:type="textWrapping"/>
            </w:r>
            <w:r>
              <w:rPr>
                <w:rFonts w:hint="eastAsia" w:ascii="仿宋_GB2312" w:hAnsi="Times New Roman" w:eastAsia="仿宋_GB2312"/>
                <w:sz w:val="18"/>
                <w:szCs w:val="18"/>
              </w:rPr>
              <w:t>■公共资源交易平台</w:t>
            </w:r>
            <w:r>
              <w:rPr>
                <w:rFonts w:ascii="仿宋_GB2312" w:hAnsi="Times New Roman" w:eastAsia="仿宋_GB2312"/>
                <w:sz w:val="18"/>
                <w:szCs w:val="18"/>
              </w:rPr>
              <w:br w:type="textWrapping"/>
            </w:r>
            <w:r>
              <w:rPr>
                <w:rFonts w:hint="eastAsia" w:ascii="仿宋_GB2312" w:hAnsi="Times New Roman" w:eastAsia="仿宋_GB2312"/>
                <w:sz w:val="18"/>
                <w:szCs w:val="18"/>
              </w:rPr>
              <w:t>■电子招标投标交易平台</w:t>
            </w:r>
          </w:p>
        </w:tc>
        <w:tc>
          <w:tcPr>
            <w:tcW w:w="720" w:type="dxa"/>
            <w:noWrap w:val="0"/>
            <w:vAlign w:val="center"/>
          </w:tcPr>
          <w:p>
            <w:pPr>
              <w:spacing w:line="240" w:lineRule="exact"/>
              <w:ind w:firstLine="90" w:firstLineChars="50"/>
              <w:rPr>
                <w:rFonts w:ascii="仿宋_GB2312" w:hAnsi="Times New Roman" w:eastAsia="仿宋_GB2312"/>
                <w:sz w:val="18"/>
                <w:szCs w:val="18"/>
              </w:rPr>
            </w:pPr>
            <w:r>
              <w:rPr>
                <w:rFonts w:hint="eastAsia" w:ascii="仿宋_GB2312" w:hAnsi="Times New Roman" w:eastAsia="仿宋_GB2312"/>
                <w:sz w:val="18"/>
                <w:szCs w:val="18"/>
              </w:rPr>
              <w:t>√</w:t>
            </w:r>
          </w:p>
        </w:tc>
        <w:tc>
          <w:tcPr>
            <w:tcW w:w="90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88" w:type="dxa"/>
            <w:noWrap w:val="0"/>
            <w:vAlign w:val="center"/>
          </w:tcPr>
          <w:p>
            <w:pPr>
              <w:spacing w:line="240" w:lineRule="exact"/>
              <w:ind w:firstLine="180" w:firstLineChars="100"/>
              <w:rPr>
                <w:rFonts w:ascii="仿宋_GB2312" w:hAnsi="Times New Roman" w:eastAsia="仿宋_GB2312"/>
                <w:sz w:val="18"/>
                <w:szCs w:val="18"/>
              </w:rPr>
            </w:pPr>
            <w:r>
              <w:rPr>
                <w:rFonts w:hint="eastAsia" w:ascii="仿宋_GB2312" w:hAnsi="Times New Roman"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4"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spacing w:line="240" w:lineRule="exact"/>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Times New Roman" w:eastAsia="仿宋_GB2312"/>
                <w:sz w:val="18"/>
                <w:szCs w:val="18"/>
              </w:rPr>
              <w:t>■政府网站</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spacing w:line="240" w:lineRule="exact"/>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Times New Roman" w:eastAsia="仿宋_GB2312"/>
                <w:sz w:val="18"/>
                <w:szCs w:val="18"/>
              </w:rPr>
              <w:t>■政府网站</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trPr>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Times New Roman" w:eastAsia="仿宋_GB2312"/>
                <w:sz w:val="18"/>
                <w:szCs w:val="18"/>
              </w:rPr>
              <w:t>■政府网站</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noWrap w:val="0"/>
            <w:vAlign w:val="center"/>
          </w:tcPr>
          <w:p>
            <w:pPr>
              <w:rPr>
                <w:rFonts w:ascii="仿宋_GB2312" w:hAnsi="宋体" w:eastAsia="仿宋_GB2312"/>
                <w:sz w:val="18"/>
                <w:szCs w:val="18"/>
              </w:rPr>
            </w:pPr>
            <w:r>
              <w:rPr>
                <w:rFonts w:hint="eastAsia" w:ascii="仿宋_GB2312" w:hAnsi="Times New Roman" w:eastAsia="仿宋_GB2312"/>
                <w:sz w:val="18"/>
                <w:szCs w:val="18"/>
              </w:rPr>
              <w:t>■政府网站</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项目名称、标段名称、建设单位、承包人、项目完成质量、期限、结算金额、合同发生的变更、解除合同通知书、违约行为的处理结果。</w:t>
            </w: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jc w:val="center"/>
              <w:rPr>
                <w:rFonts w:ascii="宋体" w:hAnsi="宋体" w:cs="宋体"/>
                <w:sz w:val="18"/>
                <w:szCs w:val="18"/>
              </w:rPr>
            </w:pPr>
            <w:r>
              <w:rPr>
                <w:rFonts w:hint="eastAsia"/>
                <w:sz w:val="18"/>
                <w:szCs w:val="18"/>
              </w:rPr>
              <w:t>　</w:t>
            </w:r>
          </w:p>
        </w:tc>
        <w:tc>
          <w:tcPr>
            <w:tcW w:w="788"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noWrap w:val="0"/>
            <w:vAlign w:val="center"/>
          </w:tcPr>
          <w:p>
            <w:pPr>
              <w:spacing w:line="240" w:lineRule="exact"/>
              <w:rPr>
                <w:rFonts w:ascii="仿宋_GB2312" w:hAnsi="宋体" w:eastAsia="仿宋_GB2312"/>
                <w:sz w:val="18"/>
                <w:szCs w:val="18"/>
              </w:rPr>
            </w:pPr>
            <w:r>
              <w:rPr>
                <w:rFonts w:hint="eastAsia" w:ascii="仿宋_GB2312" w:hAnsi="Times New Roman" w:eastAsia="仿宋_GB2312"/>
                <w:sz w:val="18"/>
                <w:szCs w:val="18"/>
              </w:rPr>
              <w:t>■政府网站</w:t>
            </w: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县市场监督管理局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vMerge w:val="restart"/>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■中国政府采购网</w:t>
            </w:r>
          </w:p>
          <w:p>
            <w:pPr>
              <w:spacing w:line="240" w:lineRule="exact"/>
              <w:rPr>
                <w:rFonts w:ascii="仿宋_GB2312" w:eastAsia="仿宋_GB2312"/>
                <w:sz w:val="18"/>
                <w:szCs w:val="18"/>
              </w:rPr>
            </w:pP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采购项目预算金额</w:t>
            </w:r>
          </w:p>
        </w:tc>
        <w:tc>
          <w:tcPr>
            <w:tcW w:w="3364"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w:t>
            </w:r>
          </w:p>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1"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集中采购机构</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20</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■中国政府采购网</w:t>
            </w:r>
          </w:p>
          <w:p>
            <w:pPr>
              <w:spacing w:line="240" w:lineRule="exact"/>
              <w:rPr>
                <w:rFonts w:ascii="仿宋_GB2312" w:hAnsi="宋体" w:eastAsia="仿宋_GB2312"/>
                <w:sz w:val="18"/>
                <w:szCs w:val="18"/>
              </w:rPr>
            </w:pP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■中国政府采购网</w:t>
            </w:r>
          </w:p>
          <w:p>
            <w:pPr>
              <w:spacing w:line="240" w:lineRule="exact"/>
              <w:rPr>
                <w:rFonts w:ascii="仿宋_GB2312" w:hAnsi="宋体" w:eastAsia="仿宋_GB2312"/>
                <w:sz w:val="18"/>
                <w:szCs w:val="18"/>
              </w:rPr>
            </w:pP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采购部门或者其委托的采购代理机构</w:t>
            </w:r>
          </w:p>
        </w:tc>
        <w:tc>
          <w:tcPr>
            <w:tcW w:w="1856"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■中国政府采购网</w:t>
            </w:r>
          </w:p>
          <w:p>
            <w:pPr>
              <w:spacing w:line="240" w:lineRule="exact"/>
              <w:rPr>
                <w:rFonts w:ascii="仿宋_GB2312" w:hAnsi="宋体" w:eastAsia="仿宋_GB2312"/>
                <w:sz w:val="18"/>
                <w:szCs w:val="18"/>
              </w:rPr>
            </w:pP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ind w:firstLine="90" w:firstLineChars="50"/>
              <w:rPr>
                <w:rFonts w:ascii="仿宋_GB2312" w:eastAsia="仿宋_GB2312"/>
                <w:sz w:val="18"/>
                <w:szCs w:val="18"/>
              </w:rPr>
            </w:pPr>
            <w:r>
              <w:rPr>
                <w:rFonts w:hint="eastAsia" w:ascii="仿宋_GB2312" w:eastAsia="仿宋_GB2312"/>
                <w:sz w:val="18"/>
                <w:szCs w:val="18"/>
              </w:rPr>
              <w:t>采购部门</w:t>
            </w:r>
          </w:p>
        </w:tc>
        <w:tc>
          <w:tcPr>
            <w:tcW w:w="1856"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■中国政府采购网</w:t>
            </w:r>
          </w:p>
          <w:p>
            <w:pPr>
              <w:spacing w:line="240" w:lineRule="exact"/>
              <w:rPr>
                <w:rFonts w:ascii="仿宋_GB2312" w:hAnsi="宋体" w:eastAsia="仿宋_GB2312"/>
                <w:sz w:val="18"/>
                <w:szCs w:val="18"/>
              </w:rPr>
            </w:pP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noWrap w:val="0"/>
            <w:vAlign w:val="center"/>
          </w:tcPr>
          <w:p>
            <w:pPr>
              <w:ind w:firstLine="90" w:firstLineChars="50"/>
              <w:rPr>
                <w:rFonts w:ascii="仿宋_GB2312" w:eastAsia="仿宋_GB2312"/>
                <w:sz w:val="18"/>
                <w:szCs w:val="18"/>
              </w:rPr>
            </w:pPr>
            <w:r>
              <w:rPr>
                <w:rFonts w:hint="eastAsia" w:ascii="仿宋_GB2312" w:eastAsia="仿宋_GB2312"/>
                <w:sz w:val="18"/>
                <w:szCs w:val="18"/>
              </w:rPr>
              <w:t>采购部门</w:t>
            </w:r>
          </w:p>
        </w:tc>
        <w:tc>
          <w:tcPr>
            <w:tcW w:w="1856" w:type="dxa"/>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■中国政府采购网</w:t>
            </w:r>
          </w:p>
          <w:p>
            <w:pPr>
              <w:spacing w:line="240" w:lineRule="exact"/>
              <w:rPr>
                <w:rFonts w:ascii="仿宋_GB2312" w:hAnsi="宋体" w:eastAsia="仿宋_GB2312"/>
                <w:sz w:val="18"/>
                <w:szCs w:val="18"/>
              </w:rPr>
            </w:pP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25</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县财政局</w:t>
            </w:r>
          </w:p>
        </w:tc>
        <w:tc>
          <w:tcPr>
            <w:tcW w:w="1856" w:type="dxa"/>
            <w:vMerge w:val="restart"/>
            <w:noWrap w:val="0"/>
            <w:vAlign w:val="center"/>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■中国政府采购网</w:t>
            </w:r>
          </w:p>
          <w:p>
            <w:pPr>
              <w:spacing w:line="240" w:lineRule="exact"/>
              <w:rPr>
                <w:rFonts w:ascii="仿宋_GB2312" w:hAnsi="宋体" w:eastAsia="仿宋_GB2312"/>
                <w:sz w:val="18"/>
                <w:szCs w:val="18"/>
              </w:rPr>
            </w:pP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26</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noWrap w:val="0"/>
            <w:vAlign w:val="center"/>
          </w:tcPr>
          <w:p>
            <w:pPr>
              <w:ind w:firstLine="360" w:firstLineChars="200"/>
              <w:rPr>
                <w:rFonts w:hint="eastAsia" w:ascii="仿宋_GB2312" w:eastAsia="仿宋_GB2312"/>
                <w:sz w:val="18"/>
                <w:szCs w:val="18"/>
              </w:rPr>
            </w:pPr>
            <w:r>
              <w:rPr>
                <w:rFonts w:hint="eastAsia" w:ascii="仿宋_GB2312" w:eastAsia="仿宋_GB2312"/>
                <w:sz w:val="18"/>
                <w:szCs w:val="18"/>
              </w:rPr>
              <w:t>同上</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县财政局</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每年3月31日前，公布年度国有建设用地供应计划</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县自然资源局</w:t>
            </w:r>
          </w:p>
        </w:tc>
        <w:tc>
          <w:tcPr>
            <w:tcW w:w="1856" w:type="dxa"/>
            <w:noWrap w:val="0"/>
            <w:vAlign w:val="center"/>
          </w:tcPr>
          <w:p>
            <w:pPr>
              <w:ind w:firstLine="270" w:firstLineChars="150"/>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62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956"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　</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《招标拍卖挂牌出让国有土地使用权规范》</w:t>
            </w:r>
          </w:p>
        </w:tc>
        <w:tc>
          <w:tcPr>
            <w:tcW w:w="162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县自然资源局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招标拍卖挂牌活动结束后的10个工作日内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出让人</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县自然资源局</w:t>
            </w:r>
          </w:p>
        </w:tc>
        <w:tc>
          <w:tcPr>
            <w:tcW w:w="1856" w:type="dxa"/>
            <w:noWrap w:val="0"/>
            <w:vAlign w:val="center"/>
          </w:tcPr>
          <w:p>
            <w:pPr>
              <w:ind w:firstLine="180" w:firstLineChars="100"/>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32</w:t>
            </w:r>
          </w:p>
        </w:tc>
        <w:tc>
          <w:tcPr>
            <w:tcW w:w="900" w:type="dxa"/>
            <w:vMerge w:val="restart"/>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《国务院办公厅关于推进公共资源配置领域政府信息公开的意见》、国土资源部关于印发矿业权交易规则》的通知、《自然资源部关于调整&lt;矿业权交易规则&gt;有关规定的通知》</w:t>
            </w:r>
          </w:p>
        </w:tc>
        <w:tc>
          <w:tcPr>
            <w:tcW w:w="162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在投标截止日、公开拍卖日或者挂牌起始日20个工作日前发布。挂牌时间不得少于10个工作日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县自然资源局</w:t>
            </w:r>
          </w:p>
        </w:tc>
        <w:tc>
          <w:tcPr>
            <w:tcW w:w="1856" w:type="dxa"/>
            <w:noWrap w:val="0"/>
            <w:vAlign w:val="center"/>
          </w:tcPr>
          <w:p>
            <w:pPr>
              <w:spacing w:line="300" w:lineRule="exact"/>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spacing w:line="30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hint="eastAsia" w:ascii="仿宋_GB2312" w:hAnsi="宋体" w:eastAsia="仿宋_GB2312"/>
                <w:sz w:val="18"/>
                <w:szCs w:val="18"/>
              </w:rPr>
              <w:t>■</w:t>
            </w:r>
            <w:r>
              <w:rPr>
                <w:rFonts w:hint="eastAsia" w:ascii="仿宋_GB2312" w:eastAsia="仿宋_GB2312"/>
                <w:sz w:val="18"/>
                <w:szCs w:val="18"/>
              </w:rPr>
              <w:t>公共资源交易大厅</w:t>
            </w:r>
          </w:p>
        </w:tc>
        <w:tc>
          <w:tcPr>
            <w:tcW w:w="720"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33</w:t>
            </w:r>
          </w:p>
        </w:tc>
        <w:tc>
          <w:tcPr>
            <w:tcW w:w="900" w:type="dxa"/>
            <w:vMerge w:val="continue"/>
            <w:noWrap w:val="0"/>
            <w:vAlign w:val="center"/>
          </w:tcPr>
          <w:p>
            <w:pPr>
              <w:spacing w:line="300" w:lineRule="exact"/>
              <w:jc w:val="center"/>
              <w:rPr>
                <w:rFonts w:hint="eastAsia" w:ascii="仿宋_GB2312" w:eastAsia="仿宋_GB2312"/>
                <w:sz w:val="18"/>
                <w:szCs w:val="18"/>
              </w:rPr>
            </w:pPr>
          </w:p>
        </w:tc>
        <w:tc>
          <w:tcPr>
            <w:tcW w:w="776"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招标拍卖挂牌成交结果公示</w:t>
            </w:r>
          </w:p>
        </w:tc>
        <w:tc>
          <w:tcPr>
            <w:tcW w:w="3364"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62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县自然资源局</w:t>
            </w:r>
          </w:p>
        </w:tc>
        <w:tc>
          <w:tcPr>
            <w:tcW w:w="1856" w:type="dxa"/>
            <w:noWrap w:val="0"/>
            <w:vAlign w:val="center"/>
          </w:tcPr>
          <w:p>
            <w:pPr>
              <w:spacing w:line="300" w:lineRule="exact"/>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spacing w:line="30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hint="eastAsia" w:ascii="仿宋_GB2312" w:hAnsi="宋体" w:eastAsia="仿宋_GB2312"/>
                <w:sz w:val="18"/>
                <w:szCs w:val="18"/>
              </w:rPr>
              <w:t>■</w:t>
            </w:r>
            <w:r>
              <w:rPr>
                <w:rFonts w:hint="eastAsia" w:ascii="仿宋_GB2312" w:eastAsia="仿宋_GB2312"/>
                <w:sz w:val="18"/>
                <w:szCs w:val="18"/>
              </w:rPr>
              <w:t>公共资源交易大厅</w:t>
            </w:r>
          </w:p>
        </w:tc>
        <w:tc>
          <w:tcPr>
            <w:tcW w:w="720"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34</w:t>
            </w:r>
          </w:p>
        </w:tc>
        <w:tc>
          <w:tcPr>
            <w:tcW w:w="900" w:type="dxa"/>
            <w:vMerge w:val="restart"/>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审批结果信息</w:t>
            </w:r>
          </w:p>
        </w:tc>
        <w:tc>
          <w:tcPr>
            <w:tcW w:w="3364"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每个项目的审批结果信息（交易完成后由各级自然资源管理部门审批）。</w:t>
            </w:r>
          </w:p>
        </w:tc>
        <w:tc>
          <w:tcPr>
            <w:tcW w:w="234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县自然资源局</w:t>
            </w:r>
          </w:p>
        </w:tc>
        <w:tc>
          <w:tcPr>
            <w:tcW w:w="1856" w:type="dxa"/>
            <w:noWrap w:val="0"/>
            <w:vAlign w:val="center"/>
          </w:tcPr>
          <w:p>
            <w:pPr>
              <w:spacing w:line="300" w:lineRule="exact"/>
              <w:rPr>
                <w:rFonts w:hint="eastAsia" w:ascii="仿宋_GB2312" w:hAnsi="宋体" w:eastAsia="仿宋_GB2312"/>
                <w:sz w:val="18"/>
                <w:szCs w:val="18"/>
              </w:rPr>
            </w:pPr>
          </w:p>
          <w:p>
            <w:pPr>
              <w:spacing w:line="300" w:lineRule="exact"/>
              <w:ind w:firstLine="270" w:firstLineChars="150"/>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spacing w:line="300" w:lineRule="exact"/>
              <w:rPr>
                <w:rFonts w:ascii="仿宋_GB2312" w:eastAsia="仿宋_GB2312"/>
                <w:sz w:val="18"/>
                <w:szCs w:val="18"/>
              </w:rPr>
            </w:pPr>
          </w:p>
        </w:tc>
        <w:tc>
          <w:tcPr>
            <w:tcW w:w="720"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35</w:t>
            </w:r>
          </w:p>
        </w:tc>
        <w:tc>
          <w:tcPr>
            <w:tcW w:w="900" w:type="dxa"/>
            <w:vMerge w:val="continue"/>
            <w:noWrap w:val="0"/>
            <w:vAlign w:val="center"/>
          </w:tcPr>
          <w:p>
            <w:pPr>
              <w:spacing w:line="300" w:lineRule="exact"/>
              <w:jc w:val="center"/>
              <w:rPr>
                <w:rFonts w:hint="eastAsia" w:ascii="仿宋_GB2312" w:eastAsia="仿宋_GB2312"/>
                <w:sz w:val="18"/>
                <w:szCs w:val="18"/>
              </w:rPr>
            </w:pPr>
          </w:p>
        </w:tc>
        <w:tc>
          <w:tcPr>
            <w:tcW w:w="776"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项目信息</w:t>
            </w:r>
          </w:p>
        </w:tc>
        <w:tc>
          <w:tcPr>
            <w:tcW w:w="3364"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公告有效期内矿业权基本信息包括矿业权名称、许可证号、矿业权人、矿种、有效期限。</w:t>
            </w:r>
          </w:p>
        </w:tc>
        <w:tc>
          <w:tcPr>
            <w:tcW w:w="234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spacing w:line="300" w:lineRule="exact"/>
              <w:rPr>
                <w:rFonts w:hint="eastAsia" w:ascii="仿宋_GB2312" w:eastAsia="仿宋_GB2312"/>
                <w:sz w:val="18"/>
                <w:szCs w:val="18"/>
              </w:rPr>
            </w:pPr>
            <w:r>
              <w:rPr>
                <w:rFonts w:hint="eastAsia" w:ascii="仿宋_GB2312" w:eastAsia="仿宋_GB2312"/>
                <w:sz w:val="18"/>
                <w:szCs w:val="18"/>
              </w:rPr>
              <w:t>每年一季度集中公告</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县自然资源局</w:t>
            </w:r>
          </w:p>
        </w:tc>
        <w:tc>
          <w:tcPr>
            <w:tcW w:w="1856" w:type="dxa"/>
            <w:noWrap w:val="0"/>
            <w:vAlign w:val="center"/>
          </w:tcPr>
          <w:p>
            <w:pPr>
              <w:spacing w:line="300" w:lineRule="exact"/>
              <w:ind w:firstLine="270" w:firstLineChars="150"/>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p>
          <w:p>
            <w:pPr>
              <w:spacing w:line="300" w:lineRule="exact"/>
              <w:rPr>
                <w:rFonts w:ascii="仿宋_GB2312" w:eastAsia="仿宋_GB2312"/>
                <w:sz w:val="18"/>
                <w:szCs w:val="18"/>
              </w:rPr>
            </w:pPr>
          </w:p>
        </w:tc>
        <w:tc>
          <w:tcPr>
            <w:tcW w:w="720"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spacing w:line="30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300" w:lineRule="exact"/>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36</w:t>
            </w:r>
          </w:p>
        </w:tc>
        <w:tc>
          <w:tcPr>
            <w:tcW w:w="900" w:type="dxa"/>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国有企业产权转让信息预披露</w:t>
            </w:r>
          </w:p>
        </w:tc>
        <w:tc>
          <w:tcPr>
            <w:tcW w:w="3364"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spacing w:line="30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spacing w:line="240" w:lineRule="exact"/>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spacing w:line="30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38</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交易标的名称、转让标的评估结果、转让底价、交易价格。</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及时公开，公告期不少于5个工作日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spacing w:line="30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noWrap w:val="0"/>
            <w:vAlign w:val="center"/>
          </w:tcPr>
          <w:p>
            <w:pPr>
              <w:spacing w:line="30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40</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交易标的名称、评估价格、转让底价、交易价格等。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不少于5个工作日</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noWrap w:val="0"/>
            <w:vAlign w:val="center"/>
          </w:tcPr>
          <w:p>
            <w:pPr>
              <w:spacing w:line="30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政府网站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Pr>
        <w:jc w:val="center"/>
        <w:rPr>
          <w:rFonts w:hint="eastAsia" w:ascii="Times New Roman" w:hAnsi="Times New Roman" w:eastAsia="方正小标宋_GBK"/>
          <w:sz w:val="30"/>
          <w:szCs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ebdings"/>
    <w:panose1 w:val="050201020105070707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425F3"/>
    <w:rsid w:val="723E7DF1"/>
    <w:rsid w:val="772C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2021-12-07T08:12:00Z</dcterms:created>
  <dc:creator>Administrator</dc:creator>
  <cp:lastModifiedBy>Wxc</cp:lastModifiedBy>
  <dcterms:modified xsi:type="dcterms:W3CDTF">2021-12-08T07:45:59Z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8A1211A046C84A968A3F38D13D371E69</vt:lpwstr>
  </property>
</Properties>
</file>