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0"/>
        <w:jc w:val="left"/>
        <w:textAlignment w:val="auto"/>
        <w:rPr>
          <w:rFonts w:hint="eastAsia" w:ascii="宋体" w:hAnsi="宋体" w:eastAsia="黑体" w:cs="黑体"/>
          <w:color w:val="000000"/>
          <w:spacing w:val="0"/>
          <w:w w:val="100"/>
          <w:position w:val="0"/>
          <w:sz w:val="32"/>
          <w:szCs w:val="32"/>
          <w:lang w:eastAsia="zh-CN"/>
        </w:rPr>
      </w:pPr>
      <w:bookmarkStart w:id="0" w:name="bookmark34"/>
      <w:bookmarkStart w:id="1" w:name="bookmark36"/>
      <w:bookmarkStart w:id="2" w:name="bookmark35"/>
    </w:p>
    <w:bookmarkEnd w:id="0"/>
    <w:bookmarkEnd w:id="1"/>
    <w:bookmarkEnd w:id="2"/>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上犹</w:t>
      </w:r>
      <w:r>
        <w:rPr>
          <w:rFonts w:hint="eastAsia" w:ascii="方正小标宋简体" w:hAnsi="方正小标宋简体" w:eastAsia="方正小标宋简体" w:cs="方正小标宋简体"/>
          <w:sz w:val="36"/>
          <w:szCs w:val="36"/>
          <w:lang w:val="en-US" w:eastAsia="zh-CN"/>
        </w:rPr>
        <w:t>县教科体局</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年政府信息公开年度报告</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根据《中华人民共和国政府信息公开条例》（以下简称条例）和上犹县人民政府办公室关于印发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关于全面推进基层政务公开标准化、规范化工作的实施方案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（上府办发[20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9号）要求，特向社会公布上犹</w:t>
      </w:r>
      <w:r>
        <w:rPr>
          <w:rFonts w:hint="eastAsia" w:ascii="仿宋_GB2312" w:hAnsi="仿宋_GB2312" w:eastAsia="仿宋_GB2312" w:cs="仿宋_GB2312"/>
          <w:sz w:val="32"/>
          <w:szCs w:val="32"/>
          <w:lang w:val="en-US" w:eastAsia="zh-CN"/>
        </w:rPr>
        <w:t>县教科体局</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政府信息公开年度报告。本报告由情况概述、组织领导和制度建设情况、主动公开信息情况、依申请公开信息办理情况、收费及减免情况、因信息公开申请行政复议和提起行政诉讼情况、工作存在的主要问题及改进措施共七个部分组成。本年度报告中所列数据的统计期限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年1月1日起至20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年12月31日止。如对本报告中有任何疑问，请与上犹</w:t>
      </w:r>
      <w:r>
        <w:rPr>
          <w:rFonts w:hint="eastAsia" w:ascii="仿宋_GB2312" w:hAnsi="仿宋_GB2312" w:eastAsia="仿宋_GB2312" w:cs="仿宋_GB2312"/>
          <w:sz w:val="32"/>
          <w:szCs w:val="32"/>
          <w:lang w:val="en-US" w:eastAsia="zh-CN"/>
        </w:rPr>
        <w:t>县教科体局办公室</w:t>
      </w:r>
      <w:r>
        <w:rPr>
          <w:rFonts w:hint="eastAsia" w:ascii="仿宋_GB2312" w:hAnsi="仿宋_GB2312" w:eastAsia="仿宋_GB2312" w:cs="仿宋_GB2312"/>
          <w:sz w:val="32"/>
          <w:szCs w:val="32"/>
        </w:rPr>
        <w:t>联系，联系电话：0797-8541289。</w:t>
      </w:r>
      <w:r>
        <w:rPr>
          <w:rFonts w:hint="eastAsia" w:ascii="仿宋_GB2312" w:hAnsi="仿宋_GB2312" w:eastAsia="仿宋_GB2312" w:cs="仿宋_GB2312"/>
          <w:sz w:val="32"/>
          <w:szCs w:val="32"/>
        </w:rPr>
        <w:br w:type="textWrapping"/>
      </w:r>
      <w:r>
        <w:rPr>
          <w:rFonts w:hint="eastAsia" w:ascii="黑体" w:hAnsi="黑体" w:eastAsia="黑体" w:cs="黑体"/>
          <w:sz w:val="32"/>
          <w:szCs w:val="32"/>
        </w:rPr>
        <w:t>     一、概述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县教科体局</w:t>
      </w:r>
      <w:r>
        <w:rPr>
          <w:rFonts w:hint="eastAsia" w:ascii="仿宋_GB2312" w:hAnsi="仿宋_GB2312" w:eastAsia="仿宋_GB2312" w:cs="仿宋_GB2312"/>
          <w:sz w:val="32"/>
          <w:szCs w:val="32"/>
        </w:rPr>
        <w:t>根据《国家中长期教育改革和发展规划纲要（2010-2020年）》</w:t>
      </w:r>
      <w:r>
        <w:rPr>
          <w:rFonts w:hint="eastAsia" w:ascii="仿宋_GB2312" w:hAnsi="仿宋_GB2312" w:eastAsia="仿宋_GB2312" w:cs="仿宋_GB2312"/>
          <w:sz w:val="32"/>
          <w:szCs w:val="32"/>
          <w:lang w:val="en-US" w:eastAsia="zh-CN"/>
        </w:rPr>
        <w:t>等文件</w:t>
      </w:r>
      <w:r>
        <w:rPr>
          <w:rFonts w:hint="eastAsia" w:ascii="仿宋_GB2312" w:hAnsi="仿宋_GB2312" w:eastAsia="仿宋_GB2312" w:cs="仿宋_GB2312"/>
          <w:sz w:val="32"/>
          <w:szCs w:val="32"/>
        </w:rPr>
        <w:t>的部署，积极推进教育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科技、体育</w:t>
      </w:r>
      <w:r>
        <w:rPr>
          <w:rFonts w:hint="eastAsia" w:ascii="仿宋_GB2312" w:hAnsi="仿宋_GB2312" w:eastAsia="仿宋_GB2312" w:cs="仿宋_GB2312"/>
          <w:sz w:val="32"/>
          <w:szCs w:val="32"/>
        </w:rPr>
        <w:t>改革创新，大力推进</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现代化，并全面、及时、准确地做好</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系统政府信息公开工作，有力促进了全县人民关心支持参与</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工作，全县</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的整体实力</w:t>
      </w:r>
      <w:r>
        <w:rPr>
          <w:rFonts w:hint="eastAsia" w:ascii="仿宋_GB2312" w:hAnsi="仿宋_GB2312" w:eastAsia="仿宋_GB2312" w:cs="仿宋_GB2312"/>
          <w:sz w:val="32"/>
          <w:szCs w:val="32"/>
          <w:lang w:val="en-US" w:eastAsia="zh-CN"/>
        </w:rPr>
        <w:t>快速发展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二、政府信息公开的组织领导和制度建设情况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（一）组织领导情况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进一步加强对政府信息公开工作的组织领导，不断完善政府信息公开工作体制机制建设。及时调整</w:t>
      </w:r>
      <w:r>
        <w:rPr>
          <w:rFonts w:hint="eastAsia" w:ascii="仿宋_GB2312" w:hAnsi="仿宋_GB2312" w:eastAsia="仿宋_GB2312" w:cs="仿宋_GB2312"/>
          <w:sz w:val="32"/>
          <w:szCs w:val="32"/>
          <w:lang w:val="en-US" w:eastAsia="zh-CN"/>
        </w:rPr>
        <w:t>县教科体局</w:t>
      </w:r>
      <w:r>
        <w:rPr>
          <w:rFonts w:hint="eastAsia" w:ascii="仿宋_GB2312" w:hAnsi="仿宋_GB2312" w:eastAsia="仿宋_GB2312" w:cs="仿宋_GB2312"/>
          <w:sz w:val="32"/>
          <w:szCs w:val="32"/>
        </w:rPr>
        <w:t>政府信息公开工作领导小组，</w:t>
      </w:r>
      <w:r>
        <w:rPr>
          <w:rFonts w:hint="eastAsia" w:ascii="仿宋_GB2312" w:hAnsi="仿宋_GB2312" w:eastAsia="仿宋_GB2312" w:cs="仿宋_GB2312"/>
          <w:sz w:val="32"/>
          <w:szCs w:val="32"/>
          <w:lang w:val="en-US" w:eastAsia="zh-CN"/>
        </w:rPr>
        <w:t>县教科体局党组书记</w:t>
      </w:r>
      <w:r>
        <w:rPr>
          <w:rFonts w:hint="eastAsia" w:ascii="仿宋_GB2312" w:hAnsi="仿宋_GB2312" w:eastAsia="仿宋_GB2312" w:cs="仿宋_GB2312"/>
          <w:sz w:val="32"/>
          <w:szCs w:val="32"/>
        </w:rPr>
        <w:t>、局长任组长，分管副局长任副组长，局机关各股室负责人为成员，领导小组办公室设在县</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。各学校也成立了相应的领导小组及其办事机构，进一步建立健全</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系统政府信息公开工作网络。局主要领导和分管领导定期听取局政府信息公开领导小组办公室的工作汇报，研究推进政府信息公开工作措施，协调解决信息公开工作中存在的问题，确保了</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年政府信息公开工作的有序进行。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（二）制度建设情况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认真贯彻执行政府信息公开工作相关规章制度。上犹县</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局根据《中华人民共和国信息公开条例》，制定了政府信息公开指南和公开目录，并根据《条例》及公开工作的要求，完善了《上犹县</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局政府信息公开指南》、《上犹县</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局政府信息公开目录》和《上犹县</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局政府信息主动公开制度》等，确保政务信息公开工作有章可循。</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三、主动公开政府信息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（一）主动公开政府信息情况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1、我局按照县政府信息公开工作的要求，通过精心组织，认真审核发布（转发）了涉及</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部门的政府信息。2017年主动公开政府信息共533条。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主动公开信息类别：政府信息公开目录包括概况信息、法规文件、发展规划、工作动态、人事信息、财经信息、行政执法、公共服务、申请公开信息、年度报告10个栏目。除有保密需要的文件资料外，一般的局发文件通知、公示公告、</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动态信息等全面实行网上发布，大大提高了公开工作的效率和效益，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3、信息公开的形式：一是优先选用信息化的手段，通过网站发布，主动公开信息，方便公众了解信息；二是开通电话、电子信箱等，实行人工答复。其中，通过网站主动公开政府信息的形式为最常用方式。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四、依申请公开政府信息办理情况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2017年度我局未收到依申请公开信息和“不予公开”的政府信息申请。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五、政府信息公开的收费及减免情况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自开展政府信息公开工作以来，我局没有进行过政府信息公开方面的收费。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六、因政府信息公开申请行政复议、提起行政诉讼情况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到目前为止，我局未出现因信息公开申请行政复议、提起行政诉讼的情况。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七、政府信息公开工作存在的主要问题和改进措施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上犹县</w:t>
      </w:r>
      <w:r>
        <w:rPr>
          <w:rFonts w:hint="eastAsia" w:ascii="仿宋_GB2312" w:hAnsi="仿宋_GB2312" w:eastAsia="仿宋_GB2312" w:cs="仿宋_GB2312"/>
          <w:sz w:val="32"/>
          <w:szCs w:val="32"/>
          <w:lang w:val="en-US" w:eastAsia="zh-CN"/>
        </w:rPr>
        <w:t>教育科技体育</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w:t>
      </w:r>
      <w:r>
        <w:rPr>
          <w:rFonts w:hint="eastAsia" w:ascii="仿宋_GB2312" w:hAnsi="仿宋_GB2312" w:eastAsia="仿宋_GB2312" w:cs="仿宋_GB2312"/>
          <w:sz w:val="32"/>
          <w:szCs w:val="32"/>
          <w:lang w:val="en-US" w:eastAsia="zh-CN"/>
        </w:rPr>
        <w:t>二一</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月二十三日</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620"/>
        <w:jc w:val="left"/>
        <w:textAlignment w:val="auto"/>
        <w:rPr>
          <w:rFonts w:ascii="宋体" w:hAnsi="宋体"/>
          <w:color w:val="000000"/>
          <w:spacing w:val="0"/>
          <w:w w:val="100"/>
          <w:position w:val="0"/>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1900" w:firstLineChars="594"/>
        <w:jc w:val="left"/>
        <w:textAlignment w:val="auto"/>
        <w:rPr>
          <w:rFonts w:hint="eastAsia" w:ascii="宋体" w:hAnsi="宋体" w:eastAsia="黑体" w:cs="黑体"/>
          <w:color w:val="000000"/>
          <w:spacing w:val="0"/>
          <w:w w:val="100"/>
          <w:position w:val="0"/>
          <w:sz w:val="32"/>
          <w:szCs w:val="32"/>
        </w:rPr>
      </w:pPr>
      <w:r>
        <w:rPr>
          <w:rFonts w:hint="eastAsia" w:ascii="宋体" w:hAnsi="宋体" w:eastAsia="黑体" w:cs="黑体"/>
          <w:color w:val="000000"/>
          <w:spacing w:val="0"/>
          <w:w w:val="100"/>
          <w:position w:val="0"/>
          <w:sz w:val="32"/>
          <w:szCs w:val="32"/>
        </w:rPr>
        <w:t>主动公开政府信息情况</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left="0" w:right="0" w:firstLine="1900" w:firstLineChars="594"/>
        <w:jc w:val="left"/>
        <w:textAlignment w:val="auto"/>
        <w:rPr>
          <w:rFonts w:hint="eastAsia" w:ascii="宋体" w:hAnsi="宋体" w:eastAsia="黑体" w:cs="黑体"/>
          <w:color w:val="000000"/>
          <w:spacing w:val="0"/>
          <w:w w:val="100"/>
          <w:position w:val="0"/>
          <w:sz w:val="32"/>
          <w:szCs w:val="32"/>
        </w:rPr>
      </w:pPr>
    </w:p>
    <w:tbl>
      <w:tblPr>
        <w:tblStyle w:val="2"/>
        <w:tblW w:w="9000" w:type="dxa"/>
        <w:jc w:val="center"/>
        <w:tblLayout w:type="fixed"/>
        <w:tblCellMar>
          <w:top w:w="0" w:type="dxa"/>
          <w:left w:w="10" w:type="dxa"/>
          <w:bottom w:w="0" w:type="dxa"/>
          <w:right w:w="10" w:type="dxa"/>
        </w:tblCellMar>
      </w:tblPr>
      <w:tblGrid>
        <w:gridCol w:w="2938"/>
        <w:gridCol w:w="2059"/>
        <w:gridCol w:w="2121"/>
        <w:gridCol w:w="1882"/>
      </w:tblGrid>
      <w:tr>
        <w:tblPrEx>
          <w:tblCellMar>
            <w:top w:w="0" w:type="dxa"/>
            <w:left w:w="10" w:type="dxa"/>
            <w:bottom w:w="0" w:type="dxa"/>
            <w:right w:w="10" w:type="dxa"/>
          </w:tblCellMar>
        </w:tblPrEx>
        <w:trPr>
          <w:trHeight w:val="528"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第二十条第（一）项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60"/>
              <w:jc w:val="left"/>
              <w:rPr>
                <w:rFonts w:ascii="宋体" w:hAnsi="宋体"/>
                <w:sz w:val="20"/>
                <w:szCs w:val="20"/>
              </w:rPr>
            </w:pPr>
            <w:r>
              <w:rPr>
                <w:rFonts w:ascii="宋体" w:hAnsi="宋体"/>
                <w:color w:val="000000"/>
                <w:spacing w:val="0"/>
                <w:w w:val="100"/>
                <w:position w:val="0"/>
                <w:sz w:val="20"/>
                <w:szCs w:val="20"/>
              </w:rPr>
              <w:t>本年新制作数量</w:t>
            </w:r>
          </w:p>
        </w:tc>
        <w:tc>
          <w:tcPr>
            <w:tcW w:w="212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本年新公开数量</w:t>
            </w:r>
          </w:p>
        </w:tc>
        <w:tc>
          <w:tcPr>
            <w:tcW w:w="1882"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对外公开总数量</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规章</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2121" w:type="dxa"/>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1882" w:type="dxa"/>
            <w:tcBorders>
              <w:top w:val="single" w:color="auto" w:sz="4" w:space="0"/>
              <w:left w:val="single" w:color="auto" w:sz="4" w:space="0"/>
              <w:right w:val="single" w:color="auto" w:sz="4" w:space="0"/>
            </w:tcBorders>
            <w:shd w:val="clear" w:color="auto" w:fill="FFFFFF"/>
            <w:vAlign w:val="top"/>
          </w:tcPr>
          <w:p>
            <w:pPr>
              <w:widowControl w:val="0"/>
              <w:jc w:val="center"/>
              <w:rPr>
                <w:rFonts w:hint="default" w:ascii="宋体" w:hAnsi="宋体" w:eastAsiaTheme="minorEastAsia"/>
                <w:sz w:val="28"/>
                <w:szCs w:val="28"/>
                <w:lang w:val="en-US" w:eastAsia="zh-CN"/>
              </w:rPr>
            </w:pPr>
            <w:r>
              <w:rPr>
                <w:rFonts w:hint="eastAsia" w:ascii="宋体" w:hAnsi="宋体"/>
                <w:sz w:val="28"/>
                <w:szCs w:val="28"/>
                <w:lang w:val="en-US" w:eastAsia="zh-CN"/>
              </w:rPr>
              <w:t>8</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规范性文件</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3</w:t>
            </w:r>
          </w:p>
        </w:tc>
        <w:tc>
          <w:tcPr>
            <w:tcW w:w="2121" w:type="dxa"/>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3</w:t>
            </w:r>
          </w:p>
        </w:tc>
        <w:tc>
          <w:tcPr>
            <w:tcW w:w="1882" w:type="dxa"/>
            <w:tcBorders>
              <w:top w:val="single" w:color="auto" w:sz="4" w:space="0"/>
              <w:left w:val="single" w:color="auto" w:sz="4" w:space="0"/>
              <w:right w:val="single" w:color="auto" w:sz="4" w:space="0"/>
            </w:tcBorders>
            <w:shd w:val="clear" w:color="auto" w:fill="FFFFFF"/>
            <w:vAlign w:val="top"/>
          </w:tcPr>
          <w:p>
            <w:pPr>
              <w:widowControl w:val="0"/>
              <w:jc w:val="center"/>
              <w:rPr>
                <w:rFonts w:hint="default" w:ascii="宋体" w:hAnsi="宋体" w:eastAsiaTheme="minorEastAsia"/>
                <w:sz w:val="28"/>
                <w:szCs w:val="28"/>
                <w:lang w:val="en-US" w:eastAsia="zh-CN"/>
              </w:rPr>
            </w:pPr>
            <w:r>
              <w:rPr>
                <w:rFonts w:hint="eastAsia" w:ascii="宋体" w:hAnsi="宋体"/>
                <w:sz w:val="28"/>
                <w:szCs w:val="28"/>
                <w:lang w:val="en-US" w:eastAsia="zh-CN"/>
              </w:rPr>
              <w:t>39</w:t>
            </w:r>
          </w:p>
        </w:tc>
      </w:tr>
      <w:tr>
        <w:tblPrEx>
          <w:tblCellMar>
            <w:top w:w="0" w:type="dxa"/>
            <w:left w:w="10" w:type="dxa"/>
            <w:bottom w:w="0" w:type="dxa"/>
            <w:right w:w="10" w:type="dxa"/>
          </w:tblCellMar>
        </w:tblPrEx>
        <w:trPr>
          <w:trHeight w:val="499"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第二十条第（五）项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60"/>
              <w:jc w:val="left"/>
              <w:rPr>
                <w:rFonts w:ascii="宋体" w:hAnsi="宋体"/>
                <w:sz w:val="20"/>
                <w:szCs w:val="20"/>
              </w:rPr>
            </w:pPr>
            <w:r>
              <w:rPr>
                <w:rFonts w:ascii="宋体" w:hAnsi="宋体"/>
                <w:color w:val="000000"/>
                <w:spacing w:val="0"/>
                <w:w w:val="100"/>
                <w:position w:val="0"/>
                <w:sz w:val="20"/>
                <w:szCs w:val="20"/>
              </w:rPr>
              <w:t>上一年项目数量</w:t>
            </w:r>
          </w:p>
        </w:tc>
        <w:tc>
          <w:tcPr>
            <w:tcW w:w="212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W w:w="1882"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rPr>
                <w:rFonts w:ascii="宋体" w:hAnsi="宋体"/>
                <w:sz w:val="20"/>
                <w:szCs w:val="20"/>
              </w:rPr>
            </w:pPr>
            <w:r>
              <w:rPr>
                <w:rFonts w:ascii="宋体" w:hAnsi="宋体"/>
                <w:color w:val="000000"/>
                <w:spacing w:val="0"/>
                <w:w w:val="100"/>
                <w:position w:val="0"/>
                <w:sz w:val="20"/>
                <w:szCs w:val="20"/>
              </w:rPr>
              <w:t>处理决定数量</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行政许可</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2121" w:type="dxa"/>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1882"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94"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其他对外管理服务事项</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2121" w:type="dxa"/>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1882"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504"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第二十条第（六）项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上一年项目数量</w:t>
            </w:r>
          </w:p>
        </w:tc>
        <w:tc>
          <w:tcPr>
            <w:tcW w:w="212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W w:w="1882"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00"/>
              <w:jc w:val="left"/>
              <w:rPr>
                <w:rFonts w:ascii="宋体" w:hAnsi="宋体"/>
                <w:sz w:val="20"/>
                <w:szCs w:val="20"/>
              </w:rPr>
            </w:pPr>
            <w:r>
              <w:rPr>
                <w:rFonts w:ascii="宋体" w:hAnsi="宋体"/>
                <w:color w:val="000000"/>
                <w:spacing w:val="0"/>
                <w:w w:val="100"/>
                <w:position w:val="0"/>
                <w:sz w:val="20"/>
                <w:szCs w:val="20"/>
              </w:rPr>
              <w:t>处理决定数量</w:t>
            </w:r>
          </w:p>
        </w:tc>
      </w:tr>
      <w:tr>
        <w:tblPrEx>
          <w:tblCellMar>
            <w:top w:w="0" w:type="dxa"/>
            <w:left w:w="10" w:type="dxa"/>
            <w:bottom w:w="0" w:type="dxa"/>
            <w:right w:w="10" w:type="dxa"/>
          </w:tblCellMar>
        </w:tblPrEx>
        <w:trPr>
          <w:trHeight w:val="504"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行政处罚</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2121" w:type="dxa"/>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1882"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504"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行政强制</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2121" w:type="dxa"/>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1882"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94"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第二十条第（八）项</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60"/>
              <w:jc w:val="left"/>
              <w:rPr>
                <w:rFonts w:ascii="宋体" w:hAnsi="宋体"/>
                <w:sz w:val="20"/>
                <w:szCs w:val="20"/>
              </w:rPr>
            </w:pPr>
            <w:r>
              <w:rPr>
                <w:rFonts w:ascii="宋体" w:hAnsi="宋体"/>
                <w:color w:val="000000"/>
                <w:spacing w:val="0"/>
                <w:w w:val="100"/>
                <w:position w:val="0"/>
                <w:sz w:val="20"/>
                <w:szCs w:val="20"/>
              </w:rPr>
              <w:t>上一年项目数量</w:t>
            </w:r>
          </w:p>
        </w:tc>
        <w:tc>
          <w:tcPr>
            <w:tcW w:w="212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本年增/减</w:t>
            </w:r>
          </w:p>
        </w:tc>
        <w:tc>
          <w:tcPr>
            <w:tcW w:w="1882" w:type="dxa"/>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行政事业性收费</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2121" w:type="dxa"/>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1882"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99"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第二十条第（九）项</w:t>
            </w:r>
          </w:p>
        </w:tc>
      </w:tr>
      <w:tr>
        <w:tblPrEx>
          <w:tblCellMar>
            <w:top w:w="0" w:type="dxa"/>
            <w:left w:w="10" w:type="dxa"/>
            <w:bottom w:w="0" w:type="dxa"/>
            <w:right w:w="10" w:type="dxa"/>
          </w:tblCellMar>
        </w:tblPrEx>
        <w:trPr>
          <w:trHeight w:val="494" w:hRule="exact"/>
          <w:jc w:val="center"/>
        </w:trPr>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960"/>
              <w:jc w:val="left"/>
              <w:rPr>
                <w:rFonts w:ascii="宋体" w:hAnsi="宋体"/>
                <w:sz w:val="20"/>
                <w:szCs w:val="20"/>
              </w:rPr>
            </w:pPr>
            <w:r>
              <w:rPr>
                <w:rFonts w:ascii="宋体" w:hAnsi="宋体"/>
                <w:color w:val="000000"/>
                <w:spacing w:val="0"/>
                <w:w w:val="100"/>
                <w:position w:val="0"/>
                <w:sz w:val="20"/>
                <w:szCs w:val="20"/>
              </w:rPr>
              <w:t>信息内容</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采购项目数量</w:t>
            </w:r>
          </w:p>
        </w:tc>
        <w:tc>
          <w:tcPr>
            <w:tcW w:w="2121"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20"/>
                <w:szCs w:val="20"/>
              </w:rPr>
            </w:pPr>
            <w:r>
              <w:rPr>
                <w:rFonts w:ascii="宋体" w:hAnsi="宋体"/>
                <w:color w:val="000000"/>
                <w:spacing w:val="0"/>
                <w:w w:val="100"/>
                <w:position w:val="0"/>
                <w:sz w:val="20"/>
                <w:szCs w:val="20"/>
              </w:rPr>
              <w:t>采购总金额</w:t>
            </w:r>
          </w:p>
        </w:tc>
        <w:tc>
          <w:tcPr>
            <w:tcW w:w="1882" w:type="dxa"/>
            <w:tcBorders>
              <w:top w:val="single" w:color="auto" w:sz="4" w:space="0"/>
              <w:left w:val="single" w:color="auto" w:sz="4" w:space="0"/>
              <w:right w:val="single" w:color="auto" w:sz="4" w:space="0"/>
            </w:tcBorders>
            <w:shd w:val="clear" w:color="auto" w:fill="FFFFFF"/>
            <w:vAlign w:val="top"/>
          </w:tcPr>
          <w:p>
            <w:pPr>
              <w:widowControl w:val="0"/>
              <w:rPr>
                <w:rFonts w:ascii="宋体" w:hAnsi="宋体"/>
                <w:sz w:val="10"/>
                <w:szCs w:val="10"/>
              </w:rPr>
            </w:pPr>
          </w:p>
        </w:tc>
      </w:tr>
      <w:tr>
        <w:tblPrEx>
          <w:tblCellMar>
            <w:top w:w="0" w:type="dxa"/>
            <w:left w:w="10" w:type="dxa"/>
            <w:bottom w:w="0" w:type="dxa"/>
            <w:right w:w="10" w:type="dxa"/>
          </w:tblCellMar>
        </w:tblPrEx>
        <w:trPr>
          <w:trHeight w:val="528" w:hRule="exact"/>
          <w:jc w:val="center"/>
        </w:trPr>
        <w:tc>
          <w:tcPr>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20"/>
                <w:szCs w:val="20"/>
              </w:rPr>
            </w:pPr>
            <w:r>
              <w:rPr>
                <w:rFonts w:ascii="宋体" w:hAnsi="宋体"/>
                <w:color w:val="000000"/>
                <w:spacing w:val="0"/>
                <w:w w:val="100"/>
                <w:position w:val="0"/>
                <w:sz w:val="20"/>
                <w:szCs w:val="20"/>
              </w:rPr>
              <w:t>政府集中采购</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2121" w:type="dxa"/>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W w:w="1882"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r>
    </w:tbl>
    <w:p>
      <w:pPr>
        <w:spacing w:line="1" w:lineRule="exact"/>
        <w:rPr>
          <w:rFonts w:ascii="宋体" w:hAnsi="宋体"/>
          <w:sz w:val="2"/>
          <w:szCs w:val="2"/>
        </w:rPr>
      </w:pPr>
      <w:r>
        <w:rPr>
          <w:rFonts w:ascii="宋体" w:hAnsi="宋体"/>
        </w:rPr>
        <w:br w:type="page"/>
      </w:r>
    </w:p>
    <w:p>
      <w:pPr>
        <w:pStyle w:val="4"/>
        <w:keepNext w:val="0"/>
        <w:keepLines w:val="0"/>
        <w:widowControl w:val="0"/>
        <w:shd w:val="clear" w:color="auto" w:fill="auto"/>
        <w:bidi w:val="0"/>
        <w:spacing w:before="0" w:after="220" w:line="240" w:lineRule="auto"/>
        <w:ind w:left="0" w:right="0" w:firstLine="640"/>
        <w:jc w:val="left"/>
        <w:rPr>
          <w:rFonts w:hint="eastAsia" w:ascii="宋体" w:hAnsi="宋体" w:eastAsia="黑体" w:cs="黑体"/>
          <w:sz w:val="32"/>
          <w:szCs w:val="32"/>
        </w:rPr>
      </w:pPr>
      <w:r>
        <w:rPr>
          <w:rFonts w:hint="eastAsia" w:ascii="宋体" w:hAnsi="宋体" w:eastAsia="黑体" w:cs="黑体"/>
          <w:color w:val="000000"/>
          <w:spacing w:val="0"/>
          <w:w w:val="100"/>
          <w:position w:val="0"/>
          <w:sz w:val="32"/>
          <w:szCs w:val="32"/>
        </w:rPr>
        <w:t>三、收到和处理政府信息公开申请情况</w:t>
      </w:r>
    </w:p>
    <w:tbl>
      <w:tblPr>
        <w:tblStyle w:val="2"/>
        <w:tblW w:w="8957" w:type="dxa"/>
        <w:jc w:val="center"/>
        <w:tblLayout w:type="fixed"/>
        <w:tblCellMar>
          <w:top w:w="0" w:type="dxa"/>
          <w:left w:w="10" w:type="dxa"/>
          <w:bottom w:w="0" w:type="dxa"/>
          <w:right w:w="10" w:type="dxa"/>
        </w:tblCellMar>
      </w:tblPr>
      <w:tblGrid>
        <w:gridCol w:w="562"/>
        <w:gridCol w:w="523"/>
        <w:gridCol w:w="2846"/>
        <w:gridCol w:w="840"/>
        <w:gridCol w:w="648"/>
        <w:gridCol w:w="624"/>
        <w:gridCol w:w="835"/>
        <w:gridCol w:w="850"/>
        <w:gridCol w:w="634"/>
        <w:gridCol w:w="595"/>
      </w:tblGrid>
      <w:tr>
        <w:tblPrEx>
          <w:tblCellMar>
            <w:top w:w="0" w:type="dxa"/>
            <w:left w:w="10" w:type="dxa"/>
            <w:bottom w:w="0" w:type="dxa"/>
            <w:right w:w="10" w:type="dxa"/>
          </w:tblCellMar>
        </w:tblPrEx>
        <w:trPr>
          <w:trHeight w:val="427" w:hRule="exact"/>
          <w:jc w:val="center"/>
        </w:trPr>
        <w:tc>
          <w:tcPr>
            <w:gridSpan w:val="3"/>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64" w:lineRule="exact"/>
              <w:ind w:left="0" w:right="0" w:firstLine="0"/>
              <w:jc w:val="center"/>
              <w:rPr>
                <w:rFonts w:ascii="宋体" w:hAnsi="宋体"/>
                <w:sz w:val="19"/>
                <w:szCs w:val="19"/>
              </w:rPr>
            </w:pPr>
            <w:r>
              <w:rPr>
                <w:rFonts w:ascii="宋体" w:hAnsi="宋体"/>
                <w:color w:val="000000"/>
                <w:spacing w:val="0"/>
                <w:w w:val="100"/>
                <w:position w:val="0"/>
                <w:sz w:val="19"/>
                <w:szCs w:val="19"/>
              </w:rPr>
              <w:t>（本列数据的勾稽关系为：第一项加第二项 之和，等于第三项加第四项之和）</w:t>
            </w:r>
          </w:p>
        </w:tc>
        <w:tc>
          <w:tcPr>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申请人情况</w:t>
            </w:r>
          </w:p>
        </w:tc>
      </w:tr>
      <w:tr>
        <w:tblPrEx>
          <w:tblCellMar>
            <w:top w:w="0" w:type="dxa"/>
            <w:left w:w="10" w:type="dxa"/>
            <w:bottom w:w="0" w:type="dxa"/>
            <w:right w:w="10" w:type="dxa"/>
          </w:tblCellMar>
        </w:tblPrEx>
        <w:trPr>
          <w:trHeight w:val="422" w:hRule="exact"/>
          <w:jc w:val="center"/>
        </w:trPr>
        <w:tc>
          <w:tcPr>
            <w:gridSpan w:val="3"/>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自然人</w:t>
            </w:r>
          </w:p>
        </w:tc>
        <w:tc>
          <w:tcPr>
            <w:gridSpan w:val="5"/>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总计</w:t>
            </w:r>
          </w:p>
        </w:tc>
      </w:tr>
      <w:tr>
        <w:tblPrEx>
          <w:tblCellMar>
            <w:top w:w="0" w:type="dxa"/>
            <w:left w:w="10" w:type="dxa"/>
            <w:bottom w:w="0" w:type="dxa"/>
            <w:right w:w="10" w:type="dxa"/>
          </w:tblCellMar>
        </w:tblPrEx>
        <w:trPr>
          <w:trHeight w:val="624" w:hRule="exact"/>
          <w:jc w:val="center"/>
        </w:trPr>
        <w:tc>
          <w:tcPr>
            <w:gridSpan w:val="3"/>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40" w:line="240" w:lineRule="auto"/>
              <w:ind w:left="0" w:right="0" w:firstLine="0"/>
              <w:jc w:val="left"/>
              <w:rPr>
                <w:rFonts w:ascii="宋体" w:hAnsi="宋体"/>
                <w:sz w:val="19"/>
                <w:szCs w:val="19"/>
              </w:rPr>
            </w:pPr>
            <w:r>
              <w:rPr>
                <w:rFonts w:ascii="宋体" w:hAnsi="宋体"/>
                <w:color w:val="000000"/>
                <w:spacing w:val="0"/>
                <w:w w:val="100"/>
                <w:position w:val="0"/>
                <w:sz w:val="19"/>
                <w:szCs w:val="19"/>
              </w:rPr>
              <w:t>商业</w:t>
            </w:r>
          </w:p>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企业</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科研</w:t>
            </w:r>
          </w:p>
          <w:p>
            <w:pPr>
              <w:pStyle w:val="5"/>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机构</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54" w:lineRule="exact"/>
              <w:ind w:left="0" w:right="0" w:firstLine="0"/>
              <w:jc w:val="center"/>
              <w:rPr>
                <w:rFonts w:ascii="宋体" w:hAnsi="宋体"/>
                <w:sz w:val="19"/>
                <w:szCs w:val="19"/>
              </w:rPr>
            </w:pPr>
            <w:r>
              <w:rPr>
                <w:rFonts w:ascii="宋体" w:hAnsi="宋体"/>
                <w:color w:val="000000"/>
                <w:spacing w:val="0"/>
                <w:w w:val="100"/>
                <w:position w:val="0"/>
                <w:sz w:val="19"/>
                <w:szCs w:val="19"/>
              </w:rPr>
              <w:t>社会公 益组织</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64" w:lineRule="exact"/>
              <w:ind w:left="0" w:right="0" w:firstLine="0"/>
              <w:jc w:val="center"/>
              <w:rPr>
                <w:rFonts w:ascii="宋体" w:hAnsi="宋体"/>
                <w:sz w:val="19"/>
                <w:szCs w:val="19"/>
              </w:rPr>
            </w:pPr>
            <w:r>
              <w:rPr>
                <w:rFonts w:ascii="宋体" w:hAnsi="宋体"/>
                <w:color w:val="000000"/>
                <w:spacing w:val="0"/>
                <w:w w:val="100"/>
                <w:position w:val="0"/>
                <w:sz w:val="19"/>
                <w:szCs w:val="19"/>
              </w:rPr>
              <w:t>法律服 务机构</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其他</w:t>
            </w:r>
          </w:p>
        </w:tc>
        <w:tc>
          <w:tcPr>
            <w:vMerge w:val="continue"/>
            <w:tcBorders>
              <w:left w:val="single" w:color="auto" w:sz="4" w:space="0"/>
              <w:right w:val="single" w:color="auto" w:sz="4" w:space="0"/>
            </w:tcBorders>
            <w:shd w:val="clear" w:color="auto" w:fill="FFFFFF"/>
            <w:vAlign w:val="center"/>
          </w:tcPr>
          <w:p>
            <w:pPr>
              <w:rPr>
                <w:rFonts w:ascii="宋体" w:hAnsi="宋体"/>
              </w:rPr>
            </w:pPr>
          </w:p>
        </w:tc>
      </w:tr>
      <w:tr>
        <w:tblPrEx>
          <w:tblCellMar>
            <w:top w:w="0" w:type="dxa"/>
            <w:left w:w="10" w:type="dxa"/>
            <w:bottom w:w="0" w:type="dxa"/>
            <w:right w:w="10" w:type="dxa"/>
          </w:tblCellMar>
        </w:tblPrEx>
        <w:trPr>
          <w:trHeight w:val="470" w:hRule="exact"/>
          <w:jc w:val="center"/>
        </w:trPr>
        <w:tc>
          <w:tcPr>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一、本年新收政府信息公开申请数量</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sz w:val="28"/>
                <w:szCs w:val="28"/>
                <w:lang w:val="en-US" w:eastAsia="zh-CN"/>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70" w:hRule="exact"/>
          <w:jc w:val="center"/>
        </w:trPr>
        <w:tc>
          <w:tcPr>
            <w:gridSpan w:val="3"/>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二、上年结转政府信息公开申请数量</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75" w:hRule="exact"/>
          <w:jc w:val="center"/>
        </w:trPr>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61" w:lineRule="exact"/>
              <w:ind w:left="0" w:right="0" w:firstLine="0"/>
              <w:jc w:val="both"/>
              <w:rPr>
                <w:rFonts w:ascii="宋体" w:hAnsi="宋体"/>
                <w:sz w:val="19"/>
                <w:szCs w:val="19"/>
              </w:rPr>
            </w:pPr>
            <w:r>
              <w:rPr>
                <w:rFonts w:ascii="宋体" w:hAnsi="宋体"/>
                <w:color w:val="000000"/>
                <w:spacing w:val="0"/>
                <w:w w:val="100"/>
                <w:position w:val="0"/>
                <w:sz w:val="19"/>
                <w:szCs w:val="19"/>
              </w:rPr>
              <w:t>本年 度办 理结 果</w:t>
            </w:r>
          </w:p>
        </w:tc>
        <w:tc>
          <w:tcPr>
            <w:gridSpan w:val="2"/>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（一）予以公开</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682" w:hRule="exact"/>
          <w:jc w:val="center"/>
        </w:trPr>
        <w:tc>
          <w:tcPr>
            <w:vMerge w:val="continue"/>
            <w:tcBorders>
              <w:left w:val="single" w:color="auto" w:sz="4" w:space="0"/>
            </w:tcBorders>
            <w:shd w:val="clear" w:color="auto" w:fill="FFFFFF"/>
            <w:vAlign w:val="center"/>
          </w:tcPr>
          <w:p>
            <w:pPr>
              <w:rPr>
                <w:rFonts w:ascii="宋体" w:hAnsi="宋体"/>
              </w:rPr>
            </w:pPr>
          </w:p>
        </w:tc>
        <w:tc>
          <w:tcPr>
            <w:gridSpan w:val="2"/>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83" w:lineRule="exact"/>
              <w:ind w:left="0" w:right="0" w:firstLine="0"/>
              <w:jc w:val="left"/>
              <w:rPr>
                <w:rFonts w:ascii="宋体" w:hAnsi="宋体"/>
                <w:sz w:val="19"/>
                <w:szCs w:val="19"/>
              </w:rPr>
            </w:pPr>
            <w:r>
              <w:rPr>
                <w:rFonts w:ascii="宋体" w:hAnsi="宋体"/>
                <w:color w:val="000000"/>
                <w:spacing w:val="0"/>
                <w:w w:val="100"/>
                <w:position w:val="0"/>
                <w:sz w:val="19"/>
                <w:szCs w:val="19"/>
              </w:rPr>
              <w:t>（二）部分公开（区分处理的，只计这 一情形，不计其他情形）</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2" w:lineRule="exact"/>
              <w:ind w:left="0" w:right="0" w:firstLine="0"/>
              <w:jc w:val="both"/>
              <w:rPr>
                <w:rFonts w:ascii="宋体" w:hAnsi="宋体"/>
                <w:sz w:val="19"/>
                <w:szCs w:val="19"/>
              </w:rPr>
            </w:pPr>
            <w:r>
              <w:rPr>
                <w:rFonts w:ascii="宋体" w:hAnsi="宋体"/>
                <w:color w:val="000000"/>
                <w:spacing w:val="0"/>
                <w:w w:val="100"/>
                <w:position w:val="0"/>
                <w:sz w:val="19"/>
                <w:szCs w:val="19"/>
              </w:rPr>
              <w:t>（三） 不予 公开</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属于国家秘密</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其他法律行政法规禁止公开</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42"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危及</w:t>
            </w:r>
            <w:r>
              <w:rPr>
                <w:rFonts w:ascii="宋体" w:hAnsi="宋体"/>
                <w:color w:val="000000"/>
                <w:spacing w:val="0"/>
                <w:w w:val="100"/>
                <w:position w:val="0"/>
                <w:sz w:val="19"/>
                <w:szCs w:val="19"/>
                <w:lang w:val="zh-CN" w:eastAsia="zh-CN" w:bidi="zh-CN"/>
              </w:rPr>
              <w:t>“三</w:t>
            </w:r>
            <w:r>
              <w:rPr>
                <w:rFonts w:ascii="宋体" w:hAnsi="宋体"/>
                <w:color w:val="000000"/>
                <w:spacing w:val="0"/>
                <w:w w:val="100"/>
                <w:position w:val="0"/>
                <w:sz w:val="19"/>
                <w:szCs w:val="19"/>
              </w:rPr>
              <w:t>安全一稳定”</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rPr>
              <w:t>4</w:t>
            </w:r>
            <w:r>
              <w:rPr>
                <w:rFonts w:ascii="宋体" w:hAnsi="宋体"/>
                <w:color w:val="000000"/>
                <w:spacing w:val="0"/>
                <w:w w:val="100"/>
                <w:position w:val="0"/>
                <w:sz w:val="19"/>
                <w:szCs w:val="19"/>
              </w:rPr>
              <w:t>.保护第三方合法权益</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37"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5.</w:t>
            </w:r>
            <w:r>
              <w:rPr>
                <w:rFonts w:ascii="宋体" w:hAnsi="宋体"/>
                <w:color w:val="000000"/>
                <w:spacing w:val="0"/>
                <w:w w:val="100"/>
                <w:position w:val="0"/>
                <w:sz w:val="19"/>
                <w:szCs w:val="19"/>
              </w:rPr>
              <w:t>属于三类内部事务信息</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6.</w:t>
            </w:r>
            <w:r>
              <w:rPr>
                <w:rFonts w:ascii="宋体" w:hAnsi="宋体"/>
                <w:color w:val="000000"/>
                <w:spacing w:val="0"/>
                <w:w w:val="100"/>
                <w:position w:val="0"/>
                <w:sz w:val="19"/>
                <w:szCs w:val="19"/>
              </w:rPr>
              <w:t>属于四类过程性信息</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7.</w:t>
            </w:r>
            <w:r>
              <w:rPr>
                <w:rFonts w:ascii="宋体" w:hAnsi="宋体"/>
                <w:color w:val="000000"/>
                <w:spacing w:val="0"/>
                <w:w w:val="100"/>
                <w:position w:val="0"/>
                <w:sz w:val="19"/>
                <w:szCs w:val="19"/>
              </w:rPr>
              <w:t>属于行政执法案卷</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46"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8.</w:t>
            </w:r>
            <w:r>
              <w:rPr>
                <w:rFonts w:ascii="宋体" w:hAnsi="宋体"/>
                <w:color w:val="000000"/>
                <w:spacing w:val="0"/>
                <w:w w:val="100"/>
                <w:position w:val="0"/>
                <w:sz w:val="19"/>
                <w:szCs w:val="19"/>
              </w:rPr>
              <w:t>属于行政查询事项</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62" w:lineRule="exact"/>
              <w:ind w:left="0" w:right="0" w:firstLine="0"/>
              <w:jc w:val="both"/>
              <w:rPr>
                <w:rFonts w:ascii="宋体" w:hAnsi="宋体"/>
                <w:sz w:val="19"/>
                <w:szCs w:val="19"/>
              </w:rPr>
            </w:pPr>
            <w:r>
              <w:rPr>
                <w:rFonts w:ascii="宋体" w:hAnsi="宋体"/>
                <w:color w:val="000000"/>
                <w:spacing w:val="0"/>
                <w:w w:val="100"/>
                <w:position w:val="0"/>
                <w:sz w:val="19"/>
                <w:szCs w:val="19"/>
              </w:rPr>
              <w:t>（四） 无法 提供</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本机关不掌握相关政府信息</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没有现成信息需要另行制作</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27"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补正后申请内容仍不明确</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rFonts w:ascii="宋体" w:hAnsi="宋体"/>
              </w:rPr>
            </w:pP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2" w:lineRule="exact"/>
              <w:ind w:left="0" w:right="0" w:firstLine="0"/>
              <w:jc w:val="left"/>
              <w:rPr>
                <w:rFonts w:ascii="宋体" w:hAnsi="宋体"/>
                <w:sz w:val="19"/>
                <w:szCs w:val="19"/>
              </w:rPr>
            </w:pPr>
            <w:r>
              <w:rPr>
                <w:rFonts w:ascii="宋体" w:hAnsi="宋体"/>
                <w:color w:val="000000"/>
                <w:spacing w:val="0"/>
                <w:w w:val="100"/>
                <w:position w:val="0"/>
                <w:sz w:val="19"/>
                <w:szCs w:val="19"/>
              </w:rPr>
              <w:t>（五） 不予 处理</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1.</w:t>
            </w:r>
            <w:r>
              <w:rPr>
                <w:rFonts w:ascii="宋体" w:hAnsi="宋体"/>
                <w:color w:val="000000"/>
                <w:spacing w:val="0"/>
                <w:w w:val="100"/>
                <w:position w:val="0"/>
                <w:sz w:val="19"/>
                <w:szCs w:val="19"/>
              </w:rPr>
              <w:t>信访举报投诉类申请</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13"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2.</w:t>
            </w:r>
            <w:r>
              <w:rPr>
                <w:rFonts w:ascii="宋体" w:hAnsi="宋体"/>
                <w:color w:val="000000"/>
                <w:spacing w:val="0"/>
                <w:w w:val="100"/>
                <w:position w:val="0"/>
                <w:sz w:val="19"/>
                <w:szCs w:val="19"/>
              </w:rPr>
              <w:t>重复申请</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22"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3.</w:t>
            </w:r>
            <w:r>
              <w:rPr>
                <w:rFonts w:ascii="宋体" w:hAnsi="宋体"/>
                <w:color w:val="000000"/>
                <w:spacing w:val="0"/>
                <w:w w:val="100"/>
                <w:position w:val="0"/>
                <w:sz w:val="19"/>
                <w:szCs w:val="19"/>
              </w:rPr>
              <w:t>要求提供公开出版物</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13"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4.</w:t>
            </w:r>
            <w:r>
              <w:rPr>
                <w:rFonts w:ascii="宋体" w:hAnsi="宋体"/>
                <w:color w:val="000000"/>
                <w:spacing w:val="0"/>
                <w:w w:val="100"/>
                <w:position w:val="0"/>
                <w:sz w:val="19"/>
                <w:szCs w:val="19"/>
              </w:rPr>
              <w:t>无正当理由大量反复申请</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629"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74" w:lineRule="exact"/>
              <w:ind w:left="0" w:right="0" w:firstLine="0"/>
              <w:jc w:val="left"/>
              <w:rPr>
                <w:rFonts w:ascii="宋体" w:hAnsi="宋体"/>
                <w:sz w:val="19"/>
                <w:szCs w:val="19"/>
              </w:rPr>
            </w:pPr>
            <w:r>
              <w:rPr>
                <w:rFonts w:ascii="宋体" w:hAnsi="宋体" w:eastAsia="Times New Roman" w:cs="Times New Roman"/>
                <w:color w:val="000000"/>
                <w:spacing w:val="0"/>
                <w:w w:val="100"/>
                <w:position w:val="0"/>
                <w:sz w:val="20"/>
                <w:szCs w:val="20"/>
                <w:lang w:val="en-US" w:eastAsia="en-US" w:bidi="en-US"/>
              </w:rPr>
              <w:t>5.</w:t>
            </w:r>
            <w:r>
              <w:rPr>
                <w:rFonts w:ascii="宋体" w:hAnsi="宋体"/>
                <w:color w:val="000000"/>
                <w:spacing w:val="0"/>
                <w:w w:val="100"/>
                <w:position w:val="0"/>
                <w:sz w:val="19"/>
                <w:szCs w:val="19"/>
              </w:rPr>
              <w:t>要求行政机关确认或重新 出具已获取信息</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70" w:hRule="exact"/>
          <w:jc w:val="center"/>
        </w:trPr>
        <w:tc>
          <w:tcPr>
            <w:vMerge w:val="continue"/>
            <w:tcBorders>
              <w:left w:val="single" w:color="auto" w:sz="4" w:space="0"/>
            </w:tcBorders>
            <w:shd w:val="clear" w:color="auto" w:fill="FFFFFF"/>
            <w:vAlign w:val="center"/>
          </w:tcPr>
          <w:p>
            <w:pPr>
              <w:rPr>
                <w:rFonts w:ascii="宋体" w:hAnsi="宋体"/>
              </w:rPr>
            </w:pPr>
          </w:p>
        </w:tc>
        <w:tc>
          <w:tcPr>
            <w:gridSpan w:val="2"/>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（六）其他处理</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475" w:hRule="exact"/>
          <w:jc w:val="center"/>
        </w:trPr>
        <w:tc>
          <w:tcPr>
            <w:vMerge w:val="continue"/>
            <w:tcBorders>
              <w:left w:val="single" w:color="auto" w:sz="4" w:space="0"/>
            </w:tcBorders>
            <w:shd w:val="clear" w:color="auto" w:fill="FFFFFF"/>
            <w:vAlign w:val="center"/>
          </w:tcPr>
          <w:p>
            <w:pPr>
              <w:rPr>
                <w:rFonts w:ascii="宋体" w:hAnsi="宋体"/>
              </w:rPr>
            </w:pPr>
          </w:p>
        </w:tc>
        <w:tc>
          <w:tcPr>
            <w:gridSpan w:val="2"/>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（七）总计</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r>
        <w:tblPrEx>
          <w:tblCellMar>
            <w:top w:w="0" w:type="dxa"/>
            <w:left w:w="10" w:type="dxa"/>
            <w:bottom w:w="0" w:type="dxa"/>
            <w:right w:w="10" w:type="dxa"/>
          </w:tblCellMar>
        </w:tblPrEx>
        <w:trPr>
          <w:trHeight w:val="547"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四、结转下年度继续办理</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r>
    </w:tbl>
    <w:p>
      <w:pPr>
        <w:pStyle w:val="4"/>
        <w:keepNext w:val="0"/>
        <w:keepLines w:val="0"/>
        <w:widowControl w:val="0"/>
        <w:shd w:val="clear" w:color="auto" w:fill="auto"/>
        <w:bidi w:val="0"/>
        <w:spacing w:before="0" w:after="260" w:line="240" w:lineRule="auto"/>
        <w:ind w:left="0" w:right="0" w:firstLine="620"/>
        <w:jc w:val="left"/>
        <w:rPr>
          <w:rFonts w:ascii="宋体" w:hAnsi="宋体"/>
          <w:color w:val="000000"/>
          <w:spacing w:val="0"/>
          <w:w w:val="100"/>
          <w:position w:val="0"/>
        </w:rPr>
      </w:pPr>
      <w:bookmarkStart w:id="3" w:name="bookmark37"/>
    </w:p>
    <w:p>
      <w:pPr>
        <w:pStyle w:val="4"/>
        <w:keepNext w:val="0"/>
        <w:keepLines w:val="0"/>
        <w:widowControl w:val="0"/>
        <w:shd w:val="clear" w:color="auto" w:fill="auto"/>
        <w:bidi w:val="0"/>
        <w:spacing w:before="0" w:after="260" w:line="240" w:lineRule="auto"/>
        <w:ind w:left="0" w:right="0" w:firstLine="620"/>
        <w:jc w:val="left"/>
        <w:rPr>
          <w:rFonts w:hint="eastAsia" w:ascii="宋体" w:hAnsi="宋体" w:eastAsia="黑体" w:cs="黑体"/>
          <w:sz w:val="32"/>
          <w:szCs w:val="32"/>
        </w:rPr>
      </w:pPr>
      <w:r>
        <w:rPr>
          <w:rFonts w:hint="eastAsia" w:ascii="宋体" w:hAnsi="宋体" w:eastAsia="黑体" w:cs="黑体"/>
          <w:color w:val="000000"/>
          <w:spacing w:val="0"/>
          <w:w w:val="100"/>
          <w:position w:val="0"/>
          <w:sz w:val="32"/>
          <w:szCs w:val="32"/>
        </w:rPr>
        <w:t>四</w:t>
      </w:r>
      <w:bookmarkEnd w:id="3"/>
      <w:r>
        <w:rPr>
          <w:rFonts w:hint="eastAsia" w:ascii="宋体" w:hAnsi="宋体" w:eastAsia="黑体" w:cs="黑体"/>
          <w:color w:val="000000"/>
          <w:spacing w:val="0"/>
          <w:w w:val="100"/>
          <w:position w:val="0"/>
          <w:sz w:val="32"/>
          <w:szCs w:val="32"/>
        </w:rPr>
        <w:t>、政府信息公开行政复议、行政诉讼情况</w:t>
      </w:r>
    </w:p>
    <w:tbl>
      <w:tblPr>
        <w:tblStyle w:val="2"/>
        <w:tblW w:w="8951" w:type="dxa"/>
        <w:jc w:val="center"/>
        <w:tblLayout w:type="fixed"/>
        <w:tblCellMar>
          <w:top w:w="0" w:type="dxa"/>
          <w:left w:w="10" w:type="dxa"/>
          <w:bottom w:w="0" w:type="dxa"/>
          <w:right w:w="10" w:type="dxa"/>
        </w:tblCellMar>
      </w:tblPr>
      <w:tblGrid>
        <w:gridCol w:w="586"/>
        <w:gridCol w:w="595"/>
        <w:gridCol w:w="590"/>
        <w:gridCol w:w="586"/>
        <w:gridCol w:w="590"/>
        <w:gridCol w:w="595"/>
        <w:gridCol w:w="586"/>
        <w:gridCol w:w="600"/>
        <w:gridCol w:w="590"/>
        <w:gridCol w:w="576"/>
        <w:gridCol w:w="595"/>
        <w:gridCol w:w="590"/>
        <w:gridCol w:w="595"/>
        <w:gridCol w:w="600"/>
        <w:gridCol w:w="677"/>
      </w:tblGrid>
      <w:tr>
        <w:tblPrEx>
          <w:tblCellMar>
            <w:top w:w="0" w:type="dxa"/>
            <w:left w:w="10" w:type="dxa"/>
            <w:bottom w:w="0" w:type="dxa"/>
            <w:right w:w="10" w:type="dxa"/>
          </w:tblCellMar>
        </w:tblPrEx>
        <w:trPr>
          <w:trHeight w:val="442" w:hRule="exact"/>
          <w:jc w:val="center"/>
        </w:trPr>
        <w:tc>
          <w:tcPr>
            <w:gridSpan w:val="5"/>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行政复议</w:t>
            </w:r>
          </w:p>
        </w:tc>
        <w:tc>
          <w:tcPr>
            <w:gridSpan w:val="10"/>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行政诉讼</w:t>
            </w:r>
          </w:p>
        </w:tc>
      </w:tr>
      <w:tr>
        <w:tblPrEx>
          <w:tblCellMar>
            <w:top w:w="0" w:type="dxa"/>
            <w:left w:w="10" w:type="dxa"/>
            <w:bottom w:w="0" w:type="dxa"/>
            <w:right w:w="10" w:type="dxa"/>
          </w:tblCellMar>
        </w:tblPrEx>
        <w:trPr>
          <w:trHeight w:val="427" w:hRule="exact"/>
          <w:jc w:val="center"/>
        </w:trPr>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64" w:lineRule="exact"/>
              <w:ind w:left="0" w:right="0" w:firstLine="0"/>
              <w:jc w:val="left"/>
              <w:rPr>
                <w:rFonts w:ascii="宋体" w:hAnsi="宋体"/>
                <w:sz w:val="19"/>
                <w:szCs w:val="19"/>
              </w:rPr>
            </w:pPr>
            <w:r>
              <w:rPr>
                <w:rFonts w:ascii="宋体" w:hAnsi="宋体"/>
                <w:color w:val="000000"/>
                <w:spacing w:val="0"/>
                <w:w w:val="100"/>
                <w:position w:val="0"/>
                <w:sz w:val="19"/>
                <w:szCs w:val="19"/>
              </w:rPr>
              <w:t>结果 维持</w:t>
            </w: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4" w:lineRule="exact"/>
              <w:ind w:left="0" w:right="0" w:firstLine="0"/>
              <w:jc w:val="left"/>
              <w:rPr>
                <w:rFonts w:ascii="宋体" w:hAnsi="宋体"/>
                <w:sz w:val="19"/>
                <w:szCs w:val="19"/>
              </w:rPr>
            </w:pPr>
            <w:r>
              <w:rPr>
                <w:rFonts w:ascii="宋体" w:hAnsi="宋体"/>
                <w:color w:val="000000"/>
                <w:spacing w:val="0"/>
                <w:w w:val="100"/>
                <w:position w:val="0"/>
                <w:sz w:val="19"/>
                <w:szCs w:val="19"/>
              </w:rPr>
              <w:t>结果 纠正</w:t>
            </w: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其他 结果</w:t>
            </w: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64" w:lineRule="exact"/>
              <w:ind w:left="0" w:right="0" w:firstLine="0"/>
              <w:jc w:val="left"/>
              <w:rPr>
                <w:rFonts w:ascii="宋体" w:hAnsi="宋体"/>
                <w:sz w:val="19"/>
                <w:szCs w:val="19"/>
              </w:rPr>
            </w:pPr>
            <w:r>
              <w:rPr>
                <w:rFonts w:ascii="宋体" w:hAnsi="宋体"/>
                <w:color w:val="000000"/>
                <w:spacing w:val="0"/>
                <w:w w:val="100"/>
                <w:position w:val="0"/>
                <w:sz w:val="19"/>
                <w:szCs w:val="19"/>
              </w:rPr>
              <w:t>尚未 审结</w:t>
            </w:r>
          </w:p>
        </w:tc>
        <w:tc>
          <w:tcPr>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总计</w:t>
            </w:r>
          </w:p>
        </w:tc>
        <w:tc>
          <w:tcPr>
            <w:gridSpan w:val="5"/>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未经复议直接起诉</w:t>
            </w:r>
          </w:p>
        </w:tc>
        <w:tc>
          <w:tcPr>
            <w:gridSpan w:val="5"/>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ascii="宋体" w:hAnsi="宋体"/>
                <w:sz w:val="19"/>
                <w:szCs w:val="19"/>
              </w:rPr>
            </w:pPr>
            <w:r>
              <w:rPr>
                <w:rFonts w:ascii="宋体" w:hAnsi="宋体"/>
                <w:color w:val="000000"/>
                <w:spacing w:val="0"/>
                <w:w w:val="100"/>
                <w:position w:val="0"/>
                <w:sz w:val="19"/>
                <w:szCs w:val="19"/>
              </w:rPr>
              <w:t>复议后起诉</w:t>
            </w:r>
          </w:p>
        </w:tc>
      </w:tr>
      <w:tr>
        <w:tblPrEx>
          <w:tblCellMar>
            <w:top w:w="0" w:type="dxa"/>
            <w:left w:w="10" w:type="dxa"/>
            <w:bottom w:w="0" w:type="dxa"/>
            <w:right w:w="10" w:type="dxa"/>
          </w:tblCellMar>
        </w:tblPrEx>
        <w:trPr>
          <w:trHeight w:val="624" w:hRule="exact"/>
          <w:jc w:val="center"/>
        </w:trPr>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vMerge w:val="continue"/>
            <w:tcBorders>
              <w:left w:val="single" w:color="auto" w:sz="4" w:space="0"/>
            </w:tcBorders>
            <w:shd w:val="clear" w:color="auto" w:fill="FFFFFF"/>
            <w:vAlign w:val="center"/>
          </w:tcPr>
          <w:p>
            <w:pPr>
              <w:rPr>
                <w:rFonts w:ascii="宋体" w:hAnsi="宋体"/>
              </w:rPr>
            </w:pP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64" w:lineRule="exact"/>
              <w:ind w:left="0" w:right="0" w:firstLine="0"/>
              <w:jc w:val="center"/>
              <w:rPr>
                <w:rFonts w:ascii="宋体" w:hAnsi="宋体"/>
                <w:sz w:val="19"/>
                <w:szCs w:val="19"/>
              </w:rPr>
            </w:pPr>
            <w:r>
              <w:rPr>
                <w:rFonts w:ascii="宋体" w:hAnsi="宋体"/>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50" w:lineRule="exact"/>
              <w:ind w:left="0" w:right="0" w:firstLine="0"/>
              <w:jc w:val="center"/>
              <w:rPr>
                <w:rFonts w:ascii="宋体" w:hAnsi="宋体"/>
                <w:sz w:val="19"/>
                <w:szCs w:val="19"/>
              </w:rPr>
            </w:pPr>
            <w:r>
              <w:rPr>
                <w:rFonts w:ascii="宋体" w:hAnsi="宋体"/>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其他</w:t>
            </w:r>
          </w:p>
          <w:p>
            <w:pPr>
              <w:pStyle w:val="5"/>
              <w:keepNext w:val="0"/>
              <w:keepLines w:val="0"/>
              <w:widowControl w:val="0"/>
              <w:shd w:val="clear" w:color="auto" w:fill="auto"/>
              <w:bidi w:val="0"/>
              <w:spacing w:before="0" w:after="0" w:line="240" w:lineRule="auto"/>
              <w:ind w:left="0" w:right="0" w:firstLine="0"/>
              <w:jc w:val="left"/>
              <w:rPr>
                <w:rFonts w:ascii="宋体" w:hAnsi="宋体"/>
                <w:sz w:val="19"/>
                <w:szCs w:val="19"/>
              </w:rPr>
            </w:pPr>
            <w:r>
              <w:rPr>
                <w:rFonts w:ascii="宋体" w:hAnsi="宋体"/>
                <w:color w:val="000000"/>
                <w:spacing w:val="0"/>
                <w:w w:val="100"/>
                <w:position w:val="0"/>
                <w:sz w:val="19"/>
                <w:szCs w:val="19"/>
              </w:rPr>
              <w:t>结果</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尚未 审结</w:t>
            </w:r>
          </w:p>
        </w:tc>
        <w:tc>
          <w:tcPr>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总计</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50" w:lineRule="exact"/>
              <w:ind w:left="0" w:right="0" w:firstLine="0"/>
              <w:jc w:val="center"/>
              <w:rPr>
                <w:rFonts w:ascii="宋体" w:hAnsi="宋体"/>
                <w:sz w:val="19"/>
                <w:szCs w:val="19"/>
              </w:rPr>
            </w:pPr>
            <w:r>
              <w:rPr>
                <w:rFonts w:ascii="宋体" w:hAnsi="宋体"/>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59" w:lineRule="exact"/>
              <w:ind w:left="0" w:right="0" w:firstLine="0"/>
              <w:jc w:val="center"/>
              <w:rPr>
                <w:rFonts w:ascii="宋体" w:hAnsi="宋体"/>
                <w:sz w:val="19"/>
                <w:szCs w:val="19"/>
              </w:rPr>
            </w:pPr>
            <w:r>
              <w:rPr>
                <w:rFonts w:ascii="宋体" w:hAnsi="宋体"/>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64" w:lineRule="exact"/>
              <w:ind w:left="0" w:right="0" w:firstLine="0"/>
              <w:jc w:val="left"/>
              <w:rPr>
                <w:rFonts w:ascii="宋体" w:hAnsi="宋体"/>
                <w:sz w:val="19"/>
                <w:szCs w:val="19"/>
              </w:rPr>
            </w:pPr>
            <w:r>
              <w:rPr>
                <w:rFonts w:ascii="宋体" w:hAnsi="宋体"/>
                <w:color w:val="000000"/>
                <w:spacing w:val="0"/>
                <w:w w:val="100"/>
                <w:position w:val="0"/>
                <w:sz w:val="19"/>
                <w:szCs w:val="19"/>
              </w:rPr>
              <w:t>尚未 审结</w:t>
            </w:r>
          </w:p>
        </w:tc>
        <w:tc>
          <w:tcPr>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right"/>
              <w:rPr>
                <w:rFonts w:ascii="宋体" w:hAnsi="宋体"/>
                <w:sz w:val="19"/>
                <w:szCs w:val="19"/>
              </w:rPr>
            </w:pPr>
            <w:r>
              <w:rPr>
                <w:rFonts w:ascii="宋体" w:hAnsi="宋体"/>
                <w:color w:val="000000"/>
                <w:spacing w:val="0"/>
                <w:w w:val="100"/>
                <w:position w:val="0"/>
                <w:sz w:val="19"/>
                <w:szCs w:val="19"/>
              </w:rPr>
              <w:t>总计</w:t>
            </w:r>
          </w:p>
        </w:tc>
      </w:tr>
      <w:tr>
        <w:tblPrEx>
          <w:tblCellMar>
            <w:top w:w="0" w:type="dxa"/>
            <w:left w:w="10" w:type="dxa"/>
            <w:bottom w:w="0" w:type="dxa"/>
            <w:right w:w="10" w:type="dxa"/>
          </w:tblCellMar>
        </w:tblPrEx>
        <w:trPr>
          <w:trHeight w:val="442" w:hRule="exact"/>
          <w:jc w:val="center"/>
        </w:trPr>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jc w:val="center"/>
              <w:rPr>
                <w:rFonts w:hint="eastAsia" w:ascii="宋体" w:hAnsi="宋体" w:eastAsiaTheme="minorEastAsia" w:cstheme="minorBidi"/>
                <w:kern w:val="2"/>
                <w:sz w:val="28"/>
                <w:szCs w:val="28"/>
                <w:lang w:val="en-US" w:eastAsia="zh-CN" w:bidi="ar-SA"/>
              </w:rPr>
            </w:pPr>
            <w:r>
              <w:rPr>
                <w:rFonts w:hint="eastAsia" w:ascii="宋体" w:hAnsi="宋体"/>
                <w:sz w:val="28"/>
                <w:szCs w:val="28"/>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center"/>
              <w:rPr>
                <w:rFonts w:ascii="宋体" w:hAnsi="宋体"/>
                <w:sz w:val="10"/>
                <w:szCs w:val="10"/>
              </w:rPr>
            </w:pPr>
            <w:r>
              <w:rPr>
                <w:rFonts w:hint="eastAsia" w:ascii="宋体" w:hAnsi="宋体"/>
                <w:sz w:val="28"/>
                <w:szCs w:val="28"/>
                <w:lang w:val="en-US" w:eastAsia="zh-CN"/>
              </w:rPr>
              <w:t>0</w:t>
            </w:r>
          </w:p>
        </w:tc>
      </w:tr>
    </w:tbl>
    <w:p>
      <w:pPr>
        <w:widowControl w:val="0"/>
        <w:spacing w:after="259" w:line="1" w:lineRule="exact"/>
        <w:rPr>
          <w:rFonts w:ascii="宋体" w:hAnsi="宋体"/>
        </w:rPr>
      </w:pPr>
    </w:p>
    <w:p>
      <w:pPr>
        <w:pStyle w:val="4"/>
        <w:keepNext w:val="0"/>
        <w:keepLines w:val="0"/>
        <w:widowControl w:val="0"/>
        <w:shd w:val="clear" w:color="auto" w:fill="auto"/>
        <w:tabs>
          <w:tab w:val="left" w:pos="1242"/>
        </w:tabs>
        <w:bidi w:val="0"/>
        <w:spacing w:before="0" w:after="260" w:line="240" w:lineRule="auto"/>
        <w:ind w:left="0" w:right="0" w:firstLine="620"/>
        <w:jc w:val="left"/>
        <w:rPr>
          <w:rFonts w:hint="eastAsia" w:ascii="宋体" w:hAnsi="宋体" w:eastAsia="黑体" w:cs="黑体"/>
          <w:sz w:val="32"/>
          <w:szCs w:val="32"/>
        </w:rPr>
      </w:pPr>
      <w:bookmarkStart w:id="4" w:name="bookmark38"/>
      <w:r>
        <w:rPr>
          <w:rFonts w:hint="eastAsia" w:ascii="宋体" w:hAnsi="宋体" w:eastAsia="黑体" w:cs="黑体"/>
          <w:color w:val="000000"/>
          <w:spacing w:val="0"/>
          <w:w w:val="100"/>
          <w:position w:val="0"/>
          <w:sz w:val="32"/>
          <w:szCs w:val="32"/>
        </w:rPr>
        <w:t>五</w:t>
      </w:r>
      <w:bookmarkEnd w:id="4"/>
      <w:r>
        <w:rPr>
          <w:rFonts w:hint="eastAsia" w:ascii="宋体" w:hAnsi="宋体" w:eastAsia="黑体" w:cs="黑体"/>
          <w:color w:val="000000"/>
          <w:spacing w:val="0"/>
          <w:w w:val="100"/>
          <w:position w:val="0"/>
          <w:sz w:val="32"/>
          <w:szCs w:val="32"/>
        </w:rPr>
        <w:t>、存在的主要问题及改进情况</w:t>
      </w:r>
    </w:p>
    <w:p>
      <w:pPr>
        <w:pStyle w:val="4"/>
        <w:keepNext w:val="0"/>
        <w:keepLines w:val="0"/>
        <w:widowControl w:val="0"/>
        <w:shd w:val="clear" w:color="auto" w:fill="auto"/>
        <w:tabs>
          <w:tab w:val="left" w:pos="1242"/>
        </w:tabs>
        <w:bidi w:val="0"/>
        <w:spacing w:before="0" w:after="260" w:line="240" w:lineRule="auto"/>
        <w:ind w:left="0" w:right="0" w:firstLine="620"/>
        <w:jc w:val="left"/>
        <w:rPr>
          <w:rFonts w:hint="eastAsia" w:ascii="仿宋_GB2312" w:hAnsi="仿宋_GB2312" w:eastAsia="仿宋_GB2312" w:cs="仿宋_GB2312"/>
          <w:sz w:val="32"/>
          <w:szCs w:val="32"/>
        </w:rPr>
      </w:pPr>
      <w:bookmarkStart w:id="5" w:name="bookmark39"/>
      <w:r>
        <w:rPr>
          <w:rFonts w:hint="eastAsia" w:ascii="仿宋_GB2312" w:hAnsi="仿宋_GB2312" w:eastAsia="仿宋_GB2312" w:cs="仿宋_GB2312"/>
          <w:sz w:val="32"/>
          <w:szCs w:val="32"/>
        </w:rPr>
        <w:t>我局扎实推进</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领域信息公开工作，取得了一定的成效，但依然存在一些不足和问题：一是</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系统工作点多面广线长，我局人员编制又偏少，无法配备专职的信息公开工作人员；信息公开工作兼职人员的专业素质也还有待提高,还需要加强专业培训和学习。二是</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信息网站建设需要进一步改进和优化，特别是需要提高与网友的交互性和网页的可操作性；网上咨询、查询、办理、审批等方面的工作做得还不够好。三是政府信息主动公开的意识和自觉性有待进一步提高，存在个别需公开而未及时公开的现象，经督查督促后才给予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年，我们将深入贯彻落实党的十九大精神，继续按照《中华人民共和国政府信息公开条例》、省公开办法和市公开工作要点要求，强化制度机制建设，统筹推进</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信息公开工作，加强信息及时发布、解读和回应工作，不断增强政府信息公开的实效。为此，</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局将认真抓好以下几个方面的工作：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（一）深入学习，进一步增强公开意识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进一步学习《中华人民共和国政府信息公开条例》等文件精神，提高对信息公开工作的认识，要从办人民满意的教育、规范</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行政行为和推进科学行政、依法行政、民主行政的高度，进一步提高做好政府信息公开工作的自觉性。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（二）围绕信息渠道，加强信息公开载体建设。加强新闻媒体宣传，提高重点领域政府信息公开的知晓率和参与度。加强门户网站建设，推动政府信息公开与网上办事和电子政务工作的结合。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（三）狠抓学习培训，加强业务学习，不断提升重点领域政府信息公开整体工作水平，促进政府信息公开工作更加规范、高效运作，更好地为</w:t>
      </w:r>
      <w:r>
        <w:rPr>
          <w:rFonts w:hint="eastAsia" w:ascii="仿宋_GB2312" w:hAnsi="仿宋_GB2312" w:eastAsia="仿宋_GB2312" w:cs="仿宋_GB2312"/>
          <w:sz w:val="32"/>
          <w:szCs w:val="32"/>
          <w:lang w:val="en-US" w:eastAsia="zh-CN"/>
        </w:rPr>
        <w:t>教科体</w:t>
      </w:r>
      <w:r>
        <w:rPr>
          <w:rFonts w:hint="eastAsia" w:ascii="仿宋_GB2312" w:hAnsi="仿宋_GB2312" w:eastAsia="仿宋_GB2312" w:cs="仿宋_GB2312"/>
          <w:sz w:val="32"/>
          <w:szCs w:val="32"/>
        </w:rPr>
        <w:t>发展和人民群众服务。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p>
    <w:bookmarkEnd w:id="5"/>
    <w:p>
      <w:bookmarkStart w:id="6" w:name="_GoBack"/>
      <w:bookmarkEnd w:id="6"/>
    </w:p>
    <w:sectPr>
      <w:footerReference r:id="rId3" w:type="default"/>
      <w:pgSz w:w="11906" w:h="16838"/>
      <w:pgMar w:top="1440" w:right="1689" w:bottom="1440" w:left="1689" w:header="851" w:footer="935"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8656" behindDoc="0" locked="0" layoutInCell="1" allowOverlap="1">
              <wp:simplePos x="0" y="0"/>
              <wp:positionH relativeFrom="margin">
                <wp:align>outside</wp:align>
              </wp:positionH>
              <wp:positionV relativeFrom="page">
                <wp:posOffset>9803130</wp:posOffset>
              </wp:positionV>
              <wp:extent cx="149225" cy="118745"/>
              <wp:effectExtent l="0" t="0" r="0" b="0"/>
              <wp:wrapNone/>
              <wp:docPr id="7" name="Shape 7"/>
              <wp:cNvGraphicFramePr/>
              <a:graphic xmlns:a="http://schemas.openxmlformats.org/drawingml/2006/main">
                <a:graphicData uri="http://schemas.microsoft.com/office/word/2010/wordprocessingShape">
                  <wps:wsp>
                    <wps:cNvSpPr txBox="1"/>
                    <wps:spPr>
                      <a:xfrm>
                        <a:off x="0" y="0"/>
                        <a:ext cx="149225" cy="118745"/>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fldChar w:fldCharType="end"/>
                          </w:r>
                          <w:r>
                            <w:rPr>
                              <w:rFonts w:hint="eastAsia" w:asciiTheme="minorEastAsia" w:hAnsiTheme="minorEastAsia" w:cstheme="minorEastAsia"/>
                              <w:color w:val="000000"/>
                              <w:spacing w:val="0"/>
                              <w:w w:val="100"/>
                              <w:position w:val="0"/>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none" lIns="0" tIns="0" rIns="0" bIns="0">
                      <a:spAutoFit/>
                    </wps:bodyPr>
                  </wps:wsp>
                </a:graphicData>
              </a:graphic>
            </wp:anchor>
          </w:drawing>
        </mc:Choice>
        <mc:Fallback>
          <w:pict>
            <v:shape id="Shape 7" o:spid="_x0000_s1026" o:spt="202" type="#_x0000_t202" style="position:absolute;left:0pt;margin-top:771.9pt;height:9.35pt;width:11.75pt;mso-position-horizontal:outside;mso-position-horizontal-relative:margin;mso-position-vertical-relative:page;mso-wrap-style:none;z-index:62918656;mso-width-relative:page;mso-height-relative:page;" filled="f" stroked="f" coordsize="21600,21600" o:gfxdata="UEsDBAoAAAAAAIdO4kAAAAAAAAAAAAAAAAAEAAAAZHJzL1BLAwQUAAAACACHTuJA91o//NUAAAAJ&#10;AQAADwAAAGRycy9kb3ducmV2LnhtbE2PwU7DMBBE70j8g7VI3KjTlJQqjdNDJS7cKKgSNzfexlHt&#10;dRS7afL3bE9w3JnR7LxqN3knRhxiF0jBcpGBQGqC6ahV8P31/rIBEZMmo10gVDBjhF39+FDp0oQb&#10;feJ4SK3gEoqlVmBT6kspY2PR67gIPRJ75zB4nfgcWmkGfeNy72SeZWvpdUf8weoe9xaby+HqFbxN&#10;x4B9xD3+nMdmsN28cR+zUs9Py2wLIuGU/sJwn8/ToeZNp3AlE4VTwCCJ1eJ1xQTs56sCxOmurPMC&#10;ZF3J/wT1L1BLAwQUAAAACACHTuJAScbZH60BAABvAwAADgAAAGRycy9lMm9Eb2MueG1srVPBbtsw&#10;DL0P6D8IujdOgnZpjThFi6DDgGEb0O4DFFmKBUiiICqx8/ejZCcd2ksPu8gUST3yPdLrh8FZdlQR&#10;DfiGL2ZzzpSX0Bq/b/if1+frO84wCd8KC141/KSQP2yuvqz7UKsldGBbFRmBeKz70PAupVBXFcpO&#10;OYEzCMpTUEN0ItE17qs2ip7Qna2W8/nXqofYhghSIZJ3Owb5hBg/AwhaG6m2IA9O+TSiRmVFIkrY&#10;mYB8U7rVWsn0S2tUidmGE9NUTipC9i6f1WYt6n0UoTNyakF8poV3nJwwnopeoLYiCXaI5gOUMzIC&#10;gk4zCa4aiRRFiMVi/k6bl04EVbiQ1BguouP/g5U/j78jM23DV5x54WjgpSpbZWn6gDVlvATKScMT&#10;DLQwZz+SMzMedHT5S1wYxUnY00VYNSQm86Ob++XyljNJocXibnVzm1Gqt8chYvqmwLFsNDzS3Iqc&#10;4vgD05h6Tsm1PDwba7M/dzh2kq007Iap7R20J+q6p9E23NMmc2a/e1Iub8HZiGdjNxkZHMPjIVGB&#10;UjejjlBTMZpD6XzamTzof+8l6+0/2f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1o//NUAAAAJ&#10;AQAADwAAAAAAAAABACAAAAAiAAAAZHJzL2Rvd25yZXYueG1sUEsBAhQAFAAAAAgAh07iQEnG2R+t&#10;AQAAbwMAAA4AAAAAAAAAAQAgAAAAJAEAAGRycy9lMm9Eb2MueG1sUEsFBgAAAAAGAAYAWQEAAEMF&#10;A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color w:val="000000"/>
                        <w:spacing w:val="0"/>
                        <w:w w:val="100"/>
                        <w:position w:val="0"/>
                        <w:sz w:val="28"/>
                        <w:szCs w:val="28"/>
                      </w:rPr>
                      <w:t>#</w:t>
                    </w:r>
                    <w:r>
                      <w:rPr>
                        <w:rFonts w:hint="eastAsia" w:asciiTheme="minorEastAsia" w:hAnsiTheme="minorEastAsia" w:eastAsiaTheme="minorEastAsia" w:cstheme="minorEastAsia"/>
                        <w:color w:val="000000"/>
                        <w:spacing w:val="0"/>
                        <w:w w:val="100"/>
                        <w:position w:val="0"/>
                        <w:sz w:val="28"/>
                        <w:szCs w:val="28"/>
                      </w:rPr>
                      <w:fldChar w:fldCharType="end"/>
                    </w:r>
                    <w:r>
                      <w:rPr>
                        <w:rFonts w:hint="eastAsia" w:asciiTheme="minorEastAsia" w:hAnsiTheme="minorEastAsia" w:cstheme="minorEastAsia"/>
                        <w:color w:val="000000"/>
                        <w:spacing w:val="0"/>
                        <w:w w:val="100"/>
                        <w:position w:val="0"/>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60055"/>
    <w:rsid w:val="31D2634F"/>
    <w:rsid w:val="358E6F63"/>
    <w:rsid w:val="36EB203D"/>
    <w:rsid w:val="49EF7990"/>
    <w:rsid w:val="68860055"/>
    <w:rsid w:val="6D7142C8"/>
    <w:rsid w:val="77EBA0A9"/>
    <w:rsid w:val="FDBB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5">
    <w:name w:val="Other|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2020-01-10T17:09:00Z</dcterms:created>
  <dc:creator>旷且</dc:creator>
  <cp:lastModifiedBy>尖峰</cp:lastModifiedBy>
  <dcterms:modified xsi:type="dcterms:W3CDTF">2021-01-29T01:39:33Z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