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i w:val="0"/>
          <w:color w:val="000000"/>
          <w:sz w:val="44"/>
          <w:szCs w:val="44"/>
          <w:u w:val="none"/>
          <w:lang w:eastAsia="zh-CN"/>
        </w:rPr>
      </w:pPr>
      <w:bookmarkStart w:id="2" w:name="_GoBack"/>
      <w:r>
        <w:rPr>
          <w:rFonts w:hint="eastAsia" w:ascii="方正小标宋简体" w:hAnsi="方正小标宋简体" w:eastAsia="方正小标宋简体" w:cs="方正小标宋简体"/>
          <w:b w:val="0"/>
          <w:bCs/>
          <w:i w:val="0"/>
          <w:color w:val="000000"/>
          <w:sz w:val="44"/>
          <w:szCs w:val="44"/>
          <w:u w:val="none"/>
          <w:lang w:val="en-US" w:eastAsia="zh-CN"/>
        </w:rPr>
        <w:t>上犹县司法局2020</w:t>
      </w:r>
      <w:r>
        <w:rPr>
          <w:rFonts w:hint="eastAsia" w:ascii="方正小标宋简体" w:hAnsi="方正小标宋简体" w:eastAsia="方正小标宋简体" w:cs="方正小标宋简体"/>
          <w:b w:val="0"/>
          <w:bCs/>
          <w:i w:val="0"/>
          <w:color w:val="000000"/>
          <w:sz w:val="44"/>
          <w:szCs w:val="44"/>
          <w:u w:val="none"/>
          <w:lang w:eastAsia="zh-CN"/>
        </w:rPr>
        <w:t>年政府信息公开工作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i w:val="0"/>
          <w:color w:val="000000"/>
          <w:sz w:val="44"/>
          <w:szCs w:val="44"/>
          <w:u w:val="none"/>
          <w:lang w:eastAsia="zh-CN"/>
        </w:rPr>
      </w:pPr>
      <w:r>
        <w:rPr>
          <w:rFonts w:hint="eastAsia" w:ascii="方正小标宋简体" w:hAnsi="方正小标宋简体" w:eastAsia="方正小标宋简体" w:cs="方正小标宋简体"/>
          <w:b w:val="0"/>
          <w:bCs/>
          <w:i w:val="0"/>
          <w:color w:val="000000"/>
          <w:sz w:val="44"/>
          <w:szCs w:val="44"/>
          <w:u w:val="none"/>
          <w:lang w:eastAsia="zh-CN"/>
        </w:rPr>
        <w:t>年度报告</w:t>
      </w:r>
      <w:bookmarkEnd w:id="2"/>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i w:val="0"/>
          <w:color w:val="000000"/>
          <w:sz w:val="44"/>
          <w:szCs w:val="44"/>
          <w:u w:val="none"/>
          <w:lang w:eastAsia="zh-CN"/>
        </w:rPr>
      </w:pP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Autospacing="0" w:line="540" w:lineRule="exact"/>
        <w:ind w:left="0" w:right="0" w:firstLine="620"/>
        <w:jc w:val="left"/>
        <w:textAlignment w:val="auto"/>
        <w:rPr>
          <w:rFonts w:hint="eastAsia" w:ascii="宋体" w:hAnsi="宋体" w:eastAsia="黑体" w:cs="黑体"/>
          <w:sz w:val="32"/>
          <w:szCs w:val="32"/>
        </w:rPr>
      </w:pPr>
      <w:r>
        <w:rPr>
          <w:rFonts w:hint="eastAsia" w:ascii="宋体" w:hAnsi="宋体" w:eastAsia="黑体" w:cs="黑体"/>
          <w:color w:val="000000"/>
          <w:spacing w:val="0"/>
          <w:w w:val="100"/>
          <w:position w:val="0"/>
          <w:sz w:val="32"/>
          <w:szCs w:val="32"/>
        </w:rPr>
        <w:t>—、总体情况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z w:val="32"/>
          <w:szCs w:val="32"/>
          <w:u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上犹县司法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政府信息公开直接关系人民群众参与公共决策、维护自身利益，持续做好政务公开工作，是服务群众、保障民生的重要渠道。我局坚持以保障人民群众知情、参与和监督为目标，深入贯彻落实《条例》，积极推进我局政府信息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z w:val="32"/>
          <w:szCs w:val="32"/>
          <w:u w:val="none"/>
          <w:lang w:val="en-US" w:eastAsia="zh-CN"/>
        </w:rPr>
        <w:t>本年度报告的电子版可以从上犹县人民政府网站（www.shangyou.gov.cn）下载。如对本报告有任何疑问，请与上犹县司法局人秘股联系（地址：稍口行政小区B栋二楼，电话：7135766，邮编：341200）。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562" w:firstLineChars="200"/>
        <w:jc w:val="both"/>
        <w:textAlignment w:val="auto"/>
        <w:rPr>
          <w:rFonts w:hint="eastAsia" w:ascii="仿宋_GB2312" w:hAnsi="仿宋_GB2312" w:eastAsia="仿宋_GB2312" w:cs="仿宋_GB2312"/>
          <w:b/>
          <w:bCs/>
          <w:i w:val="0"/>
          <w:color w:val="000000"/>
          <w:sz w:val="28"/>
          <w:szCs w:val="28"/>
          <w:u w:val="none"/>
          <w:lang w:val="en-US" w:eastAsia="zh-CN"/>
        </w:rPr>
      </w:pPr>
      <w:r>
        <w:rPr>
          <w:rFonts w:hint="eastAsia" w:ascii="仿宋_GB2312" w:hAnsi="仿宋_GB2312" w:eastAsia="仿宋_GB2312" w:cs="仿宋_GB2312"/>
          <w:b/>
          <w:bCs/>
          <w:i w:val="0"/>
          <w:color w:val="000000"/>
          <w:sz w:val="28"/>
          <w:szCs w:val="28"/>
          <w:u w:val="none"/>
          <w:lang w:val="en-US" w:eastAsia="zh-CN"/>
        </w:rPr>
        <w:t>(一）主动公开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2020年，我局按照县委县政府统一部署，严格落实新《条例》及《规定》精神，切实推进政府信息公开工作，加强对行政权力的民主监督，切实保障人民群众的知情权、参与权和监督权。2020年，我局结合工作实际，积极做好信息公开工作，规范信息公开形式，完善信息公开制度，增强信息公开效果，认真做到人员到位、措施到位、责任到位。2020年我局在上犹县政府信息公开平台进行了主动公开政府信息441条。主动公开政府信息的主要类别包括法制上犹、法规文件、财政预决算、政务动态、公告公示、人事任免、规范性文件、执法依据、执法动态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562" w:firstLineChars="200"/>
        <w:jc w:val="both"/>
        <w:textAlignment w:val="auto"/>
        <w:rPr>
          <w:rFonts w:hint="eastAsia" w:ascii="仿宋_GB2312" w:hAnsi="仿宋_GB2312" w:eastAsia="仿宋_GB2312" w:cs="仿宋_GB2312"/>
          <w:b/>
          <w:bCs/>
          <w:i w:val="0"/>
          <w:color w:val="000000"/>
          <w:sz w:val="28"/>
          <w:szCs w:val="28"/>
          <w:u w:val="none"/>
          <w:lang w:val="en-US" w:eastAsia="zh-CN"/>
        </w:rPr>
      </w:pPr>
      <w:r>
        <w:rPr>
          <w:rFonts w:hint="eastAsia" w:ascii="仿宋_GB2312" w:hAnsi="仿宋_GB2312" w:eastAsia="仿宋_GB2312" w:cs="仿宋_GB2312"/>
          <w:b/>
          <w:bCs/>
          <w:i w:val="0"/>
          <w:color w:val="000000"/>
          <w:sz w:val="28"/>
          <w:szCs w:val="28"/>
          <w:u w:val="none"/>
          <w:lang w:val="en-US" w:eastAsia="zh-CN"/>
        </w:rPr>
        <w:t>（二）依申请公开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2020年我局收到公开政府信息的申请0件。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562" w:firstLineChars="200"/>
        <w:jc w:val="both"/>
        <w:textAlignment w:val="auto"/>
        <w:rPr>
          <w:rFonts w:hint="eastAsia" w:ascii="仿宋_GB2312" w:hAnsi="仿宋_GB2312" w:eastAsia="仿宋_GB2312" w:cs="仿宋_GB2312"/>
          <w:b/>
          <w:bCs/>
          <w:i w:val="0"/>
          <w:color w:val="000000"/>
          <w:sz w:val="28"/>
          <w:szCs w:val="28"/>
          <w:u w:val="none"/>
          <w:lang w:val="en-US" w:eastAsia="zh-CN"/>
        </w:rPr>
      </w:pPr>
      <w:r>
        <w:rPr>
          <w:rFonts w:hint="eastAsia" w:ascii="仿宋_GB2312" w:hAnsi="仿宋_GB2312" w:eastAsia="仿宋_GB2312" w:cs="仿宋_GB2312"/>
          <w:b/>
          <w:bCs/>
          <w:i w:val="0"/>
          <w:color w:val="000000"/>
          <w:sz w:val="28"/>
          <w:szCs w:val="28"/>
          <w:u w:val="none"/>
          <w:lang w:val="en-US" w:eastAsia="zh-CN"/>
        </w:rPr>
        <w:t>(三）加强政府信息管理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2020年开展了涉及民法典行政规范性文件清理。此次清理的范围是涉及民法典的县委、县政府及其办公室、县政府各部门（含法律法规授权组织）及乡（镇）政府制定的现行有效的行政规范性文件，清理的重点是与民法典的精神、原则和规定不一致的规定。我局下发了关于印发《开展涉及民法典行政规范性文件清理工作方案》的通知，坚持“谁制定谁清理”的原则，要求各乡（镇）、有关单位进行了自查。此次共梳理出县级政府及其部门行政规范性文件52件，其中拟废止数量为零，拟修订数量为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562" w:firstLineChars="200"/>
        <w:jc w:val="both"/>
        <w:textAlignment w:val="auto"/>
        <w:rPr>
          <w:rFonts w:hint="eastAsia" w:ascii="仿宋_GB2312" w:hAnsi="仿宋_GB2312" w:eastAsia="仿宋_GB2312" w:cs="仿宋_GB2312"/>
          <w:b/>
          <w:bCs/>
          <w:i w:val="0"/>
          <w:color w:val="000000"/>
          <w:sz w:val="28"/>
          <w:szCs w:val="28"/>
          <w:u w:val="none"/>
          <w:lang w:val="en-US" w:eastAsia="zh-CN"/>
        </w:rPr>
      </w:pPr>
      <w:r>
        <w:rPr>
          <w:rFonts w:hint="eastAsia" w:ascii="仿宋_GB2312" w:hAnsi="仿宋_GB2312" w:eastAsia="仿宋_GB2312" w:cs="仿宋_GB2312"/>
          <w:b/>
          <w:bCs/>
          <w:i w:val="0"/>
          <w:color w:val="000000"/>
          <w:sz w:val="28"/>
          <w:szCs w:val="28"/>
          <w:u w:val="none"/>
          <w:lang w:val="en-US" w:eastAsia="zh-CN"/>
        </w:rPr>
        <w:t>（四）强化组织领导，完善平台建设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我局成立了以局长为组长，分管领导为副组长，各股室股长为成员、人秘股股员为信息联络人员的政务信息公开工作领导小组，切实加强对此项工作的领导。建立和完善奖惩机制，鼓励各股室及时公开群众关注的热点难点问题、事关群众利益的重大事项等信息，增强信息公布的主动性、权威性和时效性。同时，2020年，我局通过“上犹县司法局”微信公众号推送信息107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562" w:firstLineChars="200"/>
        <w:jc w:val="both"/>
        <w:textAlignment w:val="auto"/>
        <w:rPr>
          <w:rFonts w:hint="eastAsia" w:ascii="仿宋_GB2312" w:hAnsi="仿宋_GB2312" w:eastAsia="仿宋_GB2312" w:cs="仿宋_GB2312"/>
          <w:b/>
          <w:bCs/>
          <w:i w:val="0"/>
          <w:color w:val="000000"/>
          <w:sz w:val="28"/>
          <w:szCs w:val="28"/>
          <w:u w:val="none"/>
          <w:lang w:val="en-US" w:eastAsia="zh-CN"/>
        </w:rPr>
      </w:pPr>
      <w:r>
        <w:rPr>
          <w:rFonts w:hint="eastAsia" w:ascii="仿宋_GB2312" w:hAnsi="仿宋_GB2312" w:eastAsia="仿宋_GB2312" w:cs="仿宋_GB2312"/>
          <w:b/>
          <w:bCs/>
          <w:i w:val="0"/>
          <w:color w:val="000000"/>
          <w:sz w:val="28"/>
          <w:szCs w:val="28"/>
          <w:u w:val="none"/>
          <w:lang w:val="en-US" w:eastAsia="zh-CN"/>
        </w:rPr>
        <w:t>（五）加强业务培训，完善监督考核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加强对新修订的《中华人民共和国政府信息公开条例》的学习，进一步规范政府信息公开申请办理答复工作，提高办理质量。严格执行网站维护管理办法，规范网站栏目内容更新时限、信息发布、安全维护与管理、监督考核等具体要求。</w:t>
      </w:r>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left="620" w:leftChars="0" w:right="0" w:rightChars="0"/>
        <w:jc w:val="left"/>
        <w:textAlignment w:val="auto"/>
        <w:rPr>
          <w:rFonts w:hint="eastAsia" w:ascii="宋体" w:hAnsi="宋体" w:eastAsia="黑体" w:cs="黑体"/>
          <w:color w:val="000000"/>
          <w:spacing w:val="0"/>
          <w:w w:val="100"/>
          <w:position w:val="0"/>
          <w:sz w:val="32"/>
          <w:szCs w:val="32"/>
        </w:rPr>
      </w:pPr>
    </w:p>
    <w:tbl>
      <w:tblPr>
        <w:tblStyle w:val="3"/>
        <w:tblW w:w="0" w:type="auto"/>
        <w:jc w:val="center"/>
        <w:tblLayout w:type="fixed"/>
        <w:tblCellMar>
          <w:top w:w="0" w:type="dxa"/>
          <w:left w:w="10" w:type="dxa"/>
          <w:bottom w:w="0" w:type="dxa"/>
          <w:right w:w="10" w:type="dxa"/>
        </w:tblCellMar>
      </w:tblPr>
      <w:tblGrid>
        <w:gridCol w:w="2938"/>
        <w:gridCol w:w="2059"/>
        <w:gridCol w:w="2069"/>
        <w:gridCol w:w="1934"/>
      </w:tblGrid>
      <w:tr>
        <w:tblPrEx>
          <w:tblCellMar>
            <w:top w:w="0" w:type="dxa"/>
            <w:left w:w="10" w:type="dxa"/>
            <w:bottom w:w="0" w:type="dxa"/>
            <w:right w:w="10" w:type="dxa"/>
          </w:tblCellMar>
        </w:tblPrEx>
        <w:trPr>
          <w:trHeight w:val="528"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第二十条第（一）项</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160"/>
              <w:jc w:val="left"/>
              <w:rPr>
                <w:rFonts w:ascii="宋体" w:hAnsi="宋体"/>
                <w:sz w:val="20"/>
                <w:szCs w:val="20"/>
              </w:rPr>
            </w:pPr>
            <w:r>
              <w:rPr>
                <w:rFonts w:ascii="宋体" w:hAnsi="宋体"/>
                <w:color w:val="000000"/>
                <w:spacing w:val="0"/>
                <w:w w:val="100"/>
                <w:position w:val="0"/>
                <w:sz w:val="20"/>
                <w:szCs w:val="20"/>
              </w:rPr>
              <w:t>本年新制作数量</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本年新公开数量</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对外公开总数量</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规章</w:t>
            </w:r>
          </w:p>
        </w:tc>
        <w:tc>
          <w:tcPr>
            <w:tcBorders>
              <w:top w:val="single" w:color="auto" w:sz="4" w:space="0"/>
              <w:left w:val="single" w:color="auto" w:sz="4" w:space="0"/>
            </w:tcBorders>
            <w:shd w:val="clear" w:color="auto" w:fill="FFFFFF"/>
            <w:vAlign w:val="top"/>
          </w:tcPr>
          <w:p>
            <w:pPr>
              <w:widowControl w:val="0"/>
              <w:rPr>
                <w:rFonts w:hint="default" w:ascii="宋体" w:hAnsi="宋体" w:eastAsiaTheme="minorEastAsia"/>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tcBorders>
            <w:shd w:val="clear" w:color="auto" w:fill="FFFFFF"/>
            <w:vAlign w:val="top"/>
          </w:tcPr>
          <w:p>
            <w:pPr>
              <w:widowControl w:val="0"/>
              <w:rPr>
                <w:rFonts w:hint="default"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ascii="宋体" w:hAnsi="宋体"/>
                <w:sz w:val="32"/>
                <w:szCs w:val="32"/>
                <w:lang w:val="en-US" w:eastAsia="zh-CN"/>
              </w:rPr>
            </w:pPr>
            <w:r>
              <w:rPr>
                <w:rFonts w:hint="eastAsia" w:ascii="宋体" w:hAnsi="宋体"/>
                <w:sz w:val="32"/>
                <w:szCs w:val="32"/>
                <w:lang w:val="en-US" w:eastAsia="zh-CN"/>
              </w:rPr>
              <w:t>0</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规范性文件</w:t>
            </w:r>
          </w:p>
        </w:tc>
        <w:tc>
          <w:tcPr>
            <w:tcBorders>
              <w:top w:val="single" w:color="auto" w:sz="4" w:space="0"/>
              <w:left w:val="single" w:color="auto" w:sz="4" w:space="0"/>
            </w:tcBorders>
            <w:shd w:val="clear" w:color="auto" w:fill="FFFFFF"/>
            <w:vAlign w:val="top"/>
          </w:tcPr>
          <w:p>
            <w:pPr>
              <w:widowControl w:val="0"/>
              <w:rPr>
                <w:rFonts w:hint="eastAsia" w:ascii="宋体" w:hAnsi="宋体" w:eastAsiaTheme="minorEastAsia"/>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tcBorders>
            <w:shd w:val="clear" w:color="auto" w:fill="FFFFFF"/>
            <w:vAlign w:val="top"/>
          </w:tcPr>
          <w:p>
            <w:pPr>
              <w:widowControl w:val="0"/>
              <w:rPr>
                <w:rFonts w:hint="default" w:ascii="宋体" w:hAnsi="宋体"/>
                <w:sz w:val="32"/>
                <w:szCs w:val="32"/>
                <w:lang w:val="en-US" w:eastAsia="zh-CN"/>
              </w:rPr>
            </w:pPr>
            <w:r>
              <w:rPr>
                <w:rFonts w:hint="eastAsia" w:ascii="宋体" w:hAnsi="宋体"/>
                <w:sz w:val="32"/>
                <w:szCs w:val="32"/>
                <w:lang w:val="en-US" w:eastAsia="zh-CN"/>
              </w:rPr>
              <w:t>28</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ascii="宋体" w:hAnsi="宋体"/>
                <w:sz w:val="32"/>
                <w:szCs w:val="32"/>
                <w:lang w:val="en-US" w:eastAsia="zh-CN"/>
              </w:rPr>
            </w:pPr>
            <w:r>
              <w:rPr>
                <w:rFonts w:hint="eastAsia" w:ascii="宋体" w:hAnsi="宋体"/>
                <w:sz w:val="32"/>
                <w:szCs w:val="32"/>
                <w:lang w:val="en-US" w:eastAsia="zh-CN"/>
              </w:rPr>
              <w:t>28</w:t>
            </w:r>
          </w:p>
        </w:tc>
      </w:tr>
      <w:tr>
        <w:tblPrEx>
          <w:tblCellMar>
            <w:top w:w="0" w:type="dxa"/>
            <w:left w:w="10" w:type="dxa"/>
            <w:bottom w:w="0" w:type="dxa"/>
            <w:right w:w="10" w:type="dxa"/>
          </w:tblCellMar>
        </w:tblPrEx>
        <w:trPr>
          <w:trHeight w:val="499"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第二十条第（五）项</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160"/>
              <w:jc w:val="left"/>
              <w:rPr>
                <w:rFonts w:ascii="宋体" w:hAnsi="宋体"/>
                <w:sz w:val="20"/>
                <w:szCs w:val="20"/>
              </w:rPr>
            </w:pPr>
            <w:r>
              <w:rPr>
                <w:rFonts w:ascii="宋体" w:hAnsi="宋体"/>
                <w:color w:val="000000"/>
                <w:spacing w:val="0"/>
                <w:w w:val="100"/>
                <w:position w:val="0"/>
                <w:sz w:val="20"/>
                <w:szCs w:val="20"/>
              </w:rPr>
              <w:t>上一年项目数量</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本年增/减</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left"/>
              <w:rPr>
                <w:rFonts w:ascii="宋体" w:hAnsi="宋体"/>
                <w:sz w:val="20"/>
                <w:szCs w:val="20"/>
              </w:rPr>
            </w:pPr>
            <w:r>
              <w:rPr>
                <w:rFonts w:ascii="宋体" w:hAnsi="宋体"/>
                <w:color w:val="000000"/>
                <w:spacing w:val="0"/>
                <w:w w:val="100"/>
                <w:position w:val="0"/>
                <w:sz w:val="20"/>
                <w:szCs w:val="20"/>
              </w:rPr>
              <w:t>处理决定数量</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行政许可</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r>
      <w:tr>
        <w:tblPrEx>
          <w:tblCellMar>
            <w:top w:w="0" w:type="dxa"/>
            <w:left w:w="10" w:type="dxa"/>
            <w:bottom w:w="0" w:type="dxa"/>
            <w:right w:w="10" w:type="dxa"/>
          </w:tblCellMar>
        </w:tblPrEx>
        <w:trPr>
          <w:trHeight w:val="494"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其他对外管理服务事项</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r>
      <w:tr>
        <w:tblPrEx>
          <w:tblCellMar>
            <w:top w:w="0" w:type="dxa"/>
            <w:left w:w="10" w:type="dxa"/>
            <w:bottom w:w="0" w:type="dxa"/>
            <w:right w:w="10" w:type="dxa"/>
          </w:tblCellMar>
        </w:tblPrEx>
        <w:trPr>
          <w:trHeight w:val="504"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第二十条第（六）项</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上一年项目数量</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本年增/减</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left"/>
              <w:rPr>
                <w:rFonts w:ascii="宋体" w:hAnsi="宋体"/>
                <w:sz w:val="20"/>
                <w:szCs w:val="20"/>
              </w:rPr>
            </w:pPr>
            <w:r>
              <w:rPr>
                <w:rFonts w:ascii="宋体" w:hAnsi="宋体"/>
                <w:color w:val="000000"/>
                <w:spacing w:val="0"/>
                <w:w w:val="100"/>
                <w:position w:val="0"/>
                <w:sz w:val="20"/>
                <w:szCs w:val="20"/>
              </w:rPr>
              <w:t>处理决定数量</w:t>
            </w:r>
          </w:p>
        </w:tc>
      </w:tr>
      <w:tr>
        <w:tblPrEx>
          <w:tblCellMar>
            <w:top w:w="0" w:type="dxa"/>
            <w:left w:w="10" w:type="dxa"/>
            <w:bottom w:w="0" w:type="dxa"/>
            <w:right w:w="10" w:type="dxa"/>
          </w:tblCellMar>
        </w:tblPrEx>
        <w:trPr>
          <w:trHeight w:val="504"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行政处罚</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default" w:ascii="宋体" w:hAnsi="宋体"/>
                <w:sz w:val="32"/>
                <w:szCs w:val="32"/>
                <w:lang w:val="en-US" w:eastAsia="zh-CN"/>
              </w:rPr>
            </w:pPr>
            <w:r>
              <w:rPr>
                <w:rFonts w:hint="eastAsia" w:ascii="宋体" w:hAnsi="宋体"/>
                <w:sz w:val="32"/>
                <w:szCs w:val="32"/>
                <w:lang w:val="en-US" w:eastAsia="zh-CN"/>
              </w:rPr>
              <w:t>0</w:t>
            </w:r>
          </w:p>
        </w:tc>
      </w:tr>
      <w:tr>
        <w:tblPrEx>
          <w:tblCellMar>
            <w:top w:w="0" w:type="dxa"/>
            <w:left w:w="10" w:type="dxa"/>
            <w:bottom w:w="0" w:type="dxa"/>
            <w:right w:w="10" w:type="dxa"/>
          </w:tblCellMar>
        </w:tblPrEx>
        <w:trPr>
          <w:trHeight w:val="504"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行政强制</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r>
      <w:tr>
        <w:tblPrEx>
          <w:tblCellMar>
            <w:top w:w="0" w:type="dxa"/>
            <w:left w:w="10" w:type="dxa"/>
            <w:bottom w:w="0" w:type="dxa"/>
            <w:right w:w="10" w:type="dxa"/>
          </w:tblCellMar>
        </w:tblPrEx>
        <w:trPr>
          <w:trHeight w:val="494"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第二十条第（八）项</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160"/>
              <w:jc w:val="left"/>
              <w:rPr>
                <w:rFonts w:ascii="宋体" w:hAnsi="宋体"/>
                <w:sz w:val="20"/>
                <w:szCs w:val="20"/>
              </w:rPr>
            </w:pPr>
            <w:r>
              <w:rPr>
                <w:rFonts w:ascii="宋体" w:hAnsi="宋体"/>
                <w:color w:val="000000"/>
                <w:spacing w:val="0"/>
                <w:w w:val="100"/>
                <w:position w:val="0"/>
                <w:sz w:val="20"/>
                <w:szCs w:val="20"/>
              </w:rPr>
              <w:t>上一年项目数量</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本年增/减</w:t>
            </w: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行政事业性收费</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99"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第二十条第（九）项</w:t>
            </w:r>
          </w:p>
        </w:tc>
      </w:tr>
      <w:tr>
        <w:tblPrEx>
          <w:tblCellMar>
            <w:top w:w="0" w:type="dxa"/>
            <w:left w:w="10" w:type="dxa"/>
            <w:bottom w:w="0" w:type="dxa"/>
            <w:right w:w="10" w:type="dxa"/>
          </w:tblCellMar>
        </w:tblPrEx>
        <w:trPr>
          <w:trHeight w:val="494"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采购项目数量</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采购总金额</w:t>
            </w: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政府集中采购</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ascii="宋体" w:hAnsi="宋体"/>
                <w:sz w:val="10"/>
                <w:szCs w:val="10"/>
              </w:rPr>
            </w:pPr>
          </w:p>
        </w:tc>
      </w:tr>
    </w:tbl>
    <w:p>
      <w:pPr>
        <w:spacing w:line="1" w:lineRule="exact"/>
        <w:rPr>
          <w:rFonts w:ascii="宋体" w:hAnsi="宋体"/>
          <w:sz w:val="2"/>
          <w:szCs w:val="2"/>
        </w:rPr>
      </w:pPr>
      <w:r>
        <w:rPr>
          <w:rFonts w:ascii="宋体" w:hAnsi="宋体"/>
        </w:rPr>
        <w:br w:type="page"/>
      </w:r>
    </w:p>
    <w:p>
      <w:pPr>
        <w:pStyle w:val="5"/>
        <w:keepNext w:val="0"/>
        <w:keepLines w:val="0"/>
        <w:widowControl w:val="0"/>
        <w:shd w:val="clear" w:color="auto" w:fill="auto"/>
        <w:bidi w:val="0"/>
        <w:spacing w:before="0" w:after="220" w:line="240" w:lineRule="auto"/>
        <w:ind w:left="0" w:right="0" w:firstLine="640"/>
        <w:jc w:val="left"/>
        <w:rPr>
          <w:rFonts w:hint="eastAsia" w:ascii="宋体" w:hAnsi="宋体" w:eastAsia="黑体" w:cs="黑体"/>
          <w:sz w:val="32"/>
          <w:szCs w:val="32"/>
        </w:rPr>
      </w:pPr>
      <w:r>
        <w:rPr>
          <w:rFonts w:hint="eastAsia" w:eastAsia="黑体" w:cs="黑体"/>
          <w:color w:val="000000"/>
          <w:spacing w:val="0"/>
          <w:w w:val="100"/>
          <w:position w:val="0"/>
          <w:sz w:val="32"/>
          <w:szCs w:val="32"/>
          <w:lang w:eastAsia="zh-CN"/>
        </w:rPr>
        <w:t>二</w:t>
      </w:r>
      <w:r>
        <w:rPr>
          <w:rFonts w:hint="eastAsia" w:ascii="宋体" w:hAnsi="宋体" w:eastAsia="黑体" w:cs="黑体"/>
          <w:color w:val="000000"/>
          <w:spacing w:val="0"/>
          <w:w w:val="100"/>
          <w:position w:val="0"/>
          <w:sz w:val="32"/>
          <w:szCs w:val="32"/>
        </w:rPr>
        <w:t>、收到和处理政府信息公开申请情况</w:t>
      </w:r>
    </w:p>
    <w:tbl>
      <w:tblPr>
        <w:tblStyle w:val="3"/>
        <w:tblW w:w="8957" w:type="dxa"/>
        <w:jc w:val="center"/>
        <w:tblLayout w:type="fixed"/>
        <w:tblCellMar>
          <w:top w:w="0" w:type="dxa"/>
          <w:left w:w="10" w:type="dxa"/>
          <w:bottom w:w="0" w:type="dxa"/>
          <w:right w:w="10" w:type="dxa"/>
        </w:tblCellMar>
      </w:tblPr>
      <w:tblGrid>
        <w:gridCol w:w="562"/>
        <w:gridCol w:w="523"/>
        <w:gridCol w:w="2846"/>
        <w:gridCol w:w="840"/>
        <w:gridCol w:w="648"/>
        <w:gridCol w:w="624"/>
        <w:gridCol w:w="835"/>
        <w:gridCol w:w="850"/>
        <w:gridCol w:w="634"/>
        <w:gridCol w:w="595"/>
      </w:tblGrid>
      <w:tr>
        <w:tblPrEx>
          <w:tblCellMar>
            <w:top w:w="0" w:type="dxa"/>
            <w:left w:w="10" w:type="dxa"/>
            <w:bottom w:w="0" w:type="dxa"/>
            <w:right w:w="10" w:type="dxa"/>
          </w:tblCellMar>
        </w:tblPrEx>
        <w:trPr>
          <w:trHeight w:val="427" w:hRule="exact"/>
          <w:jc w:val="center"/>
        </w:trPr>
        <w:tc>
          <w:tcPr>
            <w:gridSpan w:val="3"/>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64" w:lineRule="exact"/>
              <w:ind w:left="0" w:right="0" w:firstLine="0"/>
              <w:jc w:val="center"/>
              <w:rPr>
                <w:rFonts w:ascii="宋体" w:hAnsi="宋体"/>
                <w:sz w:val="19"/>
                <w:szCs w:val="19"/>
              </w:rPr>
            </w:pPr>
            <w:r>
              <w:rPr>
                <w:rFonts w:ascii="宋体" w:hAnsi="宋体"/>
                <w:color w:val="000000"/>
                <w:spacing w:val="0"/>
                <w:w w:val="100"/>
                <w:position w:val="0"/>
                <w:sz w:val="19"/>
                <w:szCs w:val="19"/>
              </w:rPr>
              <w:t>（本列数据的勾稽关系为：第一项加第二项 之和，等于第三项加第四项之和）</w:t>
            </w:r>
          </w:p>
        </w:tc>
        <w:tc>
          <w:tcPr>
            <w:gridSpan w:val="7"/>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申请人情况</w:t>
            </w:r>
          </w:p>
        </w:tc>
      </w:tr>
      <w:tr>
        <w:tblPrEx>
          <w:tblCellMar>
            <w:top w:w="0" w:type="dxa"/>
            <w:left w:w="10" w:type="dxa"/>
            <w:bottom w:w="0" w:type="dxa"/>
            <w:right w:w="10" w:type="dxa"/>
          </w:tblCellMar>
        </w:tblPrEx>
        <w:trPr>
          <w:trHeight w:val="422" w:hRule="exact"/>
          <w:jc w:val="center"/>
        </w:trPr>
        <w:tc>
          <w:tcPr>
            <w:gridSpan w:val="3"/>
            <w:vMerge w:val="continue"/>
            <w:tcBorders>
              <w:left w:val="single" w:color="auto" w:sz="4" w:space="0"/>
            </w:tcBorders>
            <w:shd w:val="clear" w:color="auto" w:fill="FFFFFF"/>
            <w:vAlign w:val="center"/>
          </w:tcPr>
          <w:p>
            <w:pPr>
              <w:rPr>
                <w:rFonts w:ascii="宋体" w:hAnsi="宋体"/>
              </w:rPr>
            </w:p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自然人</w:t>
            </w:r>
          </w:p>
        </w:tc>
        <w:tc>
          <w:tcPr>
            <w:gridSpan w:val="5"/>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法人或其他组织</w:t>
            </w:r>
          </w:p>
        </w:tc>
        <w:tc>
          <w:tcPr>
            <w:vMerge w:val="restart"/>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总计</w:t>
            </w:r>
          </w:p>
        </w:tc>
      </w:tr>
      <w:tr>
        <w:tblPrEx>
          <w:tblCellMar>
            <w:top w:w="0" w:type="dxa"/>
            <w:left w:w="10" w:type="dxa"/>
            <w:bottom w:w="0" w:type="dxa"/>
            <w:right w:w="10" w:type="dxa"/>
          </w:tblCellMar>
        </w:tblPrEx>
        <w:trPr>
          <w:trHeight w:val="624" w:hRule="exact"/>
          <w:jc w:val="center"/>
        </w:trPr>
        <w:tc>
          <w:tcPr>
            <w:gridSpan w:val="3"/>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W w:w="648" w:type="dxa"/>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40" w:line="240" w:lineRule="auto"/>
              <w:ind w:left="0" w:right="0" w:firstLine="0"/>
              <w:jc w:val="left"/>
              <w:rPr>
                <w:rFonts w:ascii="宋体" w:hAnsi="宋体"/>
                <w:sz w:val="19"/>
                <w:szCs w:val="19"/>
              </w:rPr>
            </w:pPr>
            <w:r>
              <w:rPr>
                <w:rFonts w:ascii="宋体" w:hAnsi="宋体"/>
                <w:color w:val="000000"/>
                <w:spacing w:val="0"/>
                <w:w w:val="100"/>
                <w:position w:val="0"/>
                <w:sz w:val="19"/>
                <w:szCs w:val="19"/>
              </w:rPr>
              <w:t>商业</w:t>
            </w:r>
          </w:p>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企业</w:t>
            </w:r>
          </w:p>
        </w:tc>
        <w:tc>
          <w:tcPr>
            <w:tcW w:w="624" w:type="dxa"/>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科研</w:t>
            </w:r>
          </w:p>
          <w:p>
            <w:pPr>
              <w:pStyle w:val="6"/>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机构</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54" w:lineRule="exact"/>
              <w:ind w:left="0" w:right="0" w:firstLine="0"/>
              <w:jc w:val="center"/>
              <w:rPr>
                <w:rFonts w:ascii="宋体" w:hAnsi="宋体"/>
                <w:sz w:val="19"/>
                <w:szCs w:val="19"/>
              </w:rPr>
            </w:pPr>
            <w:r>
              <w:rPr>
                <w:rFonts w:ascii="宋体" w:hAnsi="宋体"/>
                <w:color w:val="000000"/>
                <w:spacing w:val="0"/>
                <w:w w:val="100"/>
                <w:position w:val="0"/>
                <w:sz w:val="19"/>
                <w:szCs w:val="19"/>
              </w:rPr>
              <w:t>社会公 益组织</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64" w:lineRule="exact"/>
              <w:ind w:left="0" w:right="0" w:firstLine="0"/>
              <w:jc w:val="center"/>
              <w:rPr>
                <w:rFonts w:ascii="宋体" w:hAnsi="宋体"/>
                <w:sz w:val="19"/>
                <w:szCs w:val="19"/>
              </w:rPr>
            </w:pPr>
            <w:r>
              <w:rPr>
                <w:rFonts w:ascii="宋体" w:hAnsi="宋体"/>
                <w:color w:val="000000"/>
                <w:spacing w:val="0"/>
                <w:w w:val="100"/>
                <w:position w:val="0"/>
                <w:sz w:val="19"/>
                <w:szCs w:val="19"/>
              </w:rPr>
              <w:t>法律服 务机构</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其他</w:t>
            </w:r>
          </w:p>
        </w:tc>
        <w:tc>
          <w:tcPr>
            <w:vMerge w:val="continue"/>
            <w:tcBorders>
              <w:left w:val="single" w:color="auto" w:sz="4" w:space="0"/>
              <w:right w:val="single" w:color="auto" w:sz="4" w:space="0"/>
            </w:tcBorders>
            <w:shd w:val="clear" w:color="auto" w:fill="FFFFFF"/>
            <w:vAlign w:val="center"/>
          </w:tcPr>
          <w:p>
            <w:pPr>
              <w:rPr>
                <w:rFonts w:ascii="宋体" w:hAnsi="宋体"/>
              </w:rPr>
            </w:pPr>
          </w:p>
        </w:tc>
      </w:tr>
      <w:tr>
        <w:tblPrEx>
          <w:tblCellMar>
            <w:top w:w="0" w:type="dxa"/>
            <w:left w:w="10" w:type="dxa"/>
            <w:bottom w:w="0" w:type="dxa"/>
            <w:right w:w="10" w:type="dxa"/>
          </w:tblCellMar>
        </w:tblPrEx>
        <w:trPr>
          <w:trHeight w:val="470" w:hRule="exact"/>
          <w:jc w:val="center"/>
        </w:trPr>
        <w:tc>
          <w:tcPr>
            <w:gridSpan w:val="3"/>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一、本年新收政府信息公开申请数量</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W w:w="648" w:type="dxa"/>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W w:w="624" w:type="dxa"/>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r>
      <w:tr>
        <w:tblPrEx>
          <w:tblCellMar>
            <w:top w:w="0" w:type="dxa"/>
            <w:left w:w="10" w:type="dxa"/>
            <w:bottom w:w="0" w:type="dxa"/>
            <w:right w:w="10" w:type="dxa"/>
          </w:tblCellMar>
        </w:tblPrEx>
        <w:trPr>
          <w:trHeight w:val="470" w:hRule="exact"/>
          <w:jc w:val="center"/>
        </w:trPr>
        <w:tc>
          <w:tcPr>
            <w:gridSpan w:val="3"/>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二、上年结转政府信息公开申请数量</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75" w:hRule="exact"/>
          <w:jc w:val="center"/>
        </w:trPr>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61" w:lineRule="exact"/>
              <w:ind w:left="0" w:right="0" w:firstLine="0"/>
              <w:jc w:val="both"/>
              <w:rPr>
                <w:rFonts w:ascii="宋体" w:hAnsi="宋体"/>
                <w:sz w:val="19"/>
                <w:szCs w:val="19"/>
              </w:rPr>
            </w:pPr>
            <w:r>
              <w:rPr>
                <w:rFonts w:ascii="宋体" w:hAnsi="宋体"/>
                <w:color w:val="000000"/>
                <w:spacing w:val="0"/>
                <w:w w:val="100"/>
                <w:position w:val="0"/>
                <w:sz w:val="19"/>
                <w:szCs w:val="19"/>
              </w:rPr>
              <w:t>本年 度办 理结 果</w:t>
            </w:r>
          </w:p>
        </w:tc>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（一）予以公开</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682" w:hRule="exact"/>
          <w:jc w:val="center"/>
        </w:trPr>
        <w:tc>
          <w:tcPr>
            <w:vMerge w:val="continue"/>
            <w:tcBorders>
              <w:left w:val="single" w:color="auto" w:sz="4" w:space="0"/>
            </w:tcBorders>
            <w:shd w:val="clear" w:color="auto" w:fill="FFFFFF"/>
            <w:vAlign w:val="center"/>
          </w:tcPr>
          <w:p>
            <w:pPr>
              <w:rPr>
                <w:rFonts w:ascii="宋体" w:hAnsi="宋体"/>
              </w:rPr>
            </w:pPr>
          </w:p>
        </w:tc>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83" w:lineRule="exact"/>
              <w:ind w:left="0" w:right="0" w:firstLine="0"/>
              <w:jc w:val="left"/>
              <w:rPr>
                <w:rFonts w:ascii="宋体" w:hAnsi="宋体"/>
                <w:sz w:val="19"/>
                <w:szCs w:val="19"/>
              </w:rPr>
            </w:pPr>
            <w:r>
              <w:rPr>
                <w:rFonts w:ascii="宋体" w:hAnsi="宋体"/>
                <w:color w:val="000000"/>
                <w:spacing w:val="0"/>
                <w:w w:val="100"/>
                <w:position w:val="0"/>
                <w:sz w:val="19"/>
                <w:szCs w:val="19"/>
              </w:rPr>
              <w:t>（二）部分公开（区分处理的，只计这 一情形，不计其他情形）</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52" w:lineRule="exact"/>
              <w:ind w:left="0" w:right="0" w:firstLine="0"/>
              <w:jc w:val="both"/>
              <w:rPr>
                <w:rFonts w:ascii="宋体" w:hAnsi="宋体"/>
                <w:sz w:val="19"/>
                <w:szCs w:val="19"/>
              </w:rPr>
            </w:pPr>
            <w:r>
              <w:rPr>
                <w:rFonts w:ascii="宋体" w:hAnsi="宋体"/>
                <w:color w:val="000000"/>
                <w:spacing w:val="0"/>
                <w:w w:val="100"/>
                <w:position w:val="0"/>
                <w:sz w:val="19"/>
                <w:szCs w:val="19"/>
              </w:rPr>
              <w:t>（三） 不予 公开</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1.</w:t>
            </w:r>
            <w:r>
              <w:rPr>
                <w:rFonts w:ascii="宋体" w:hAnsi="宋体"/>
                <w:color w:val="000000"/>
                <w:spacing w:val="0"/>
                <w:w w:val="100"/>
                <w:position w:val="0"/>
                <w:sz w:val="19"/>
                <w:szCs w:val="19"/>
              </w:rPr>
              <w:t>属于国家秘密</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2.</w:t>
            </w:r>
            <w:r>
              <w:rPr>
                <w:rFonts w:ascii="宋体" w:hAnsi="宋体"/>
                <w:color w:val="000000"/>
                <w:spacing w:val="0"/>
                <w:w w:val="100"/>
                <w:position w:val="0"/>
                <w:sz w:val="19"/>
                <w:szCs w:val="19"/>
              </w:rPr>
              <w:t>其他法律行政法规禁止公开</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42"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3.</w:t>
            </w:r>
            <w:r>
              <w:rPr>
                <w:rFonts w:ascii="宋体" w:hAnsi="宋体"/>
                <w:color w:val="000000"/>
                <w:spacing w:val="0"/>
                <w:w w:val="100"/>
                <w:position w:val="0"/>
                <w:sz w:val="19"/>
                <w:szCs w:val="19"/>
              </w:rPr>
              <w:t>危及</w:t>
            </w:r>
            <w:r>
              <w:rPr>
                <w:rFonts w:ascii="宋体" w:hAnsi="宋体"/>
                <w:color w:val="000000"/>
                <w:spacing w:val="0"/>
                <w:w w:val="100"/>
                <w:position w:val="0"/>
                <w:sz w:val="19"/>
                <w:szCs w:val="19"/>
                <w:lang w:val="zh-CN" w:eastAsia="zh-CN" w:bidi="zh-CN"/>
              </w:rPr>
              <w:t>“三</w:t>
            </w:r>
            <w:r>
              <w:rPr>
                <w:rFonts w:ascii="宋体" w:hAnsi="宋体"/>
                <w:color w:val="000000"/>
                <w:spacing w:val="0"/>
                <w:w w:val="100"/>
                <w:position w:val="0"/>
                <w:sz w:val="19"/>
                <w:szCs w:val="19"/>
              </w:rPr>
              <w:t>安全一稳定”</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rPr>
              <w:t>4</w:t>
            </w:r>
            <w:r>
              <w:rPr>
                <w:rFonts w:ascii="宋体" w:hAnsi="宋体"/>
                <w:color w:val="000000"/>
                <w:spacing w:val="0"/>
                <w:w w:val="100"/>
                <w:position w:val="0"/>
                <w:sz w:val="19"/>
                <w:szCs w:val="19"/>
              </w:rPr>
              <w:t>.保护第三方合法权益</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37"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5.</w:t>
            </w:r>
            <w:r>
              <w:rPr>
                <w:rFonts w:ascii="宋体" w:hAnsi="宋体"/>
                <w:color w:val="000000"/>
                <w:spacing w:val="0"/>
                <w:w w:val="100"/>
                <w:position w:val="0"/>
                <w:sz w:val="19"/>
                <w:szCs w:val="19"/>
              </w:rPr>
              <w:t>属于三类内部事务信息</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6.</w:t>
            </w:r>
            <w:r>
              <w:rPr>
                <w:rFonts w:ascii="宋体" w:hAnsi="宋体"/>
                <w:color w:val="000000"/>
                <w:spacing w:val="0"/>
                <w:w w:val="100"/>
                <w:position w:val="0"/>
                <w:sz w:val="19"/>
                <w:szCs w:val="19"/>
              </w:rPr>
              <w:t>属于四类过程性信息</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7.</w:t>
            </w:r>
            <w:r>
              <w:rPr>
                <w:rFonts w:ascii="宋体" w:hAnsi="宋体"/>
                <w:color w:val="000000"/>
                <w:spacing w:val="0"/>
                <w:w w:val="100"/>
                <w:position w:val="0"/>
                <w:sz w:val="19"/>
                <w:szCs w:val="19"/>
              </w:rPr>
              <w:t>属于行政执法案卷</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8.</w:t>
            </w:r>
            <w:r>
              <w:rPr>
                <w:rFonts w:ascii="宋体" w:hAnsi="宋体"/>
                <w:color w:val="000000"/>
                <w:spacing w:val="0"/>
                <w:w w:val="100"/>
                <w:position w:val="0"/>
                <w:sz w:val="19"/>
                <w:szCs w:val="19"/>
              </w:rPr>
              <w:t>属于行政查询事项</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18" w:hRule="exact"/>
          <w:jc w:val="center"/>
        </w:trPr>
        <w:tc>
          <w:tcPr>
            <w:vMerge w:val="continue"/>
            <w:tcBorders>
              <w:left w:val="single" w:color="auto" w:sz="4" w:space="0"/>
            </w:tcBorders>
            <w:shd w:val="clear" w:color="auto" w:fill="FFFFFF"/>
            <w:vAlign w:val="center"/>
          </w:tcPr>
          <w:p>
            <w:pPr>
              <w:rPr>
                <w:rFonts w:ascii="宋体" w:hAnsi="宋体"/>
              </w:rPr>
            </w:p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62" w:lineRule="exact"/>
              <w:ind w:left="0" w:right="0" w:firstLine="0"/>
              <w:jc w:val="both"/>
              <w:rPr>
                <w:rFonts w:ascii="宋体" w:hAnsi="宋体"/>
                <w:sz w:val="19"/>
                <w:szCs w:val="19"/>
              </w:rPr>
            </w:pPr>
            <w:r>
              <w:rPr>
                <w:rFonts w:ascii="宋体" w:hAnsi="宋体"/>
                <w:color w:val="000000"/>
                <w:spacing w:val="0"/>
                <w:w w:val="100"/>
                <w:position w:val="0"/>
                <w:sz w:val="19"/>
                <w:szCs w:val="19"/>
              </w:rPr>
              <w:t>（四） 无法 提供</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1.</w:t>
            </w:r>
            <w:r>
              <w:rPr>
                <w:rFonts w:ascii="宋体" w:hAnsi="宋体"/>
                <w:color w:val="000000"/>
                <w:spacing w:val="0"/>
                <w:w w:val="100"/>
                <w:position w:val="0"/>
                <w:sz w:val="19"/>
                <w:szCs w:val="19"/>
              </w:rPr>
              <w:t>本机关不掌握相关政府信息</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18"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2.</w:t>
            </w:r>
            <w:r>
              <w:rPr>
                <w:rFonts w:ascii="宋体" w:hAnsi="宋体"/>
                <w:color w:val="000000"/>
                <w:spacing w:val="0"/>
                <w:w w:val="100"/>
                <w:position w:val="0"/>
                <w:sz w:val="19"/>
                <w:szCs w:val="19"/>
              </w:rPr>
              <w:t>没有现成信息需要另行制作</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27"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3.</w:t>
            </w:r>
            <w:r>
              <w:rPr>
                <w:rFonts w:ascii="宋体" w:hAnsi="宋体"/>
                <w:color w:val="000000"/>
                <w:spacing w:val="0"/>
                <w:w w:val="100"/>
                <w:position w:val="0"/>
                <w:sz w:val="19"/>
                <w:szCs w:val="19"/>
              </w:rPr>
              <w:t>补正后申请内容仍不明确</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18" w:hRule="exact"/>
          <w:jc w:val="center"/>
        </w:trPr>
        <w:tc>
          <w:tcPr>
            <w:vMerge w:val="continue"/>
            <w:tcBorders>
              <w:left w:val="single" w:color="auto" w:sz="4" w:space="0"/>
            </w:tcBorders>
            <w:shd w:val="clear" w:color="auto" w:fill="FFFFFF"/>
            <w:vAlign w:val="center"/>
          </w:tcPr>
          <w:p>
            <w:pPr>
              <w:rPr>
                <w:rFonts w:ascii="宋体" w:hAnsi="宋体"/>
              </w:rPr>
            </w:p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52" w:lineRule="exact"/>
              <w:ind w:left="0" w:right="0" w:firstLine="0"/>
              <w:jc w:val="left"/>
              <w:rPr>
                <w:rFonts w:ascii="宋体" w:hAnsi="宋体"/>
                <w:sz w:val="19"/>
                <w:szCs w:val="19"/>
              </w:rPr>
            </w:pPr>
            <w:r>
              <w:rPr>
                <w:rFonts w:ascii="宋体" w:hAnsi="宋体"/>
                <w:color w:val="000000"/>
                <w:spacing w:val="0"/>
                <w:w w:val="100"/>
                <w:position w:val="0"/>
                <w:sz w:val="19"/>
                <w:szCs w:val="19"/>
              </w:rPr>
              <w:t>（五） 不予 处理</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1.</w:t>
            </w:r>
            <w:r>
              <w:rPr>
                <w:rFonts w:ascii="宋体" w:hAnsi="宋体"/>
                <w:color w:val="000000"/>
                <w:spacing w:val="0"/>
                <w:w w:val="100"/>
                <w:position w:val="0"/>
                <w:sz w:val="19"/>
                <w:szCs w:val="19"/>
              </w:rPr>
              <w:t>信访举报投诉类申请</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13"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2.</w:t>
            </w:r>
            <w:r>
              <w:rPr>
                <w:rFonts w:ascii="宋体" w:hAnsi="宋体"/>
                <w:color w:val="000000"/>
                <w:spacing w:val="0"/>
                <w:w w:val="100"/>
                <w:position w:val="0"/>
                <w:sz w:val="19"/>
                <w:szCs w:val="19"/>
              </w:rPr>
              <w:t>重复申请</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22"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3.</w:t>
            </w:r>
            <w:r>
              <w:rPr>
                <w:rFonts w:ascii="宋体" w:hAnsi="宋体"/>
                <w:color w:val="000000"/>
                <w:spacing w:val="0"/>
                <w:w w:val="100"/>
                <w:position w:val="0"/>
                <w:sz w:val="19"/>
                <w:szCs w:val="19"/>
              </w:rPr>
              <w:t>要求提供公开出版物</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13"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4.</w:t>
            </w:r>
            <w:r>
              <w:rPr>
                <w:rFonts w:ascii="宋体" w:hAnsi="宋体"/>
                <w:color w:val="000000"/>
                <w:spacing w:val="0"/>
                <w:w w:val="100"/>
                <w:position w:val="0"/>
                <w:sz w:val="19"/>
                <w:szCs w:val="19"/>
              </w:rPr>
              <w:t>无正当理由大量反复申请</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629"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74" w:lineRule="exact"/>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5.</w:t>
            </w:r>
            <w:r>
              <w:rPr>
                <w:rFonts w:ascii="宋体" w:hAnsi="宋体"/>
                <w:color w:val="000000"/>
                <w:spacing w:val="0"/>
                <w:w w:val="100"/>
                <w:position w:val="0"/>
                <w:sz w:val="19"/>
                <w:szCs w:val="19"/>
              </w:rPr>
              <w:t>要求行政机关确认或重新 出具已获取信息</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70" w:hRule="exact"/>
          <w:jc w:val="center"/>
        </w:trPr>
        <w:tc>
          <w:tcPr>
            <w:vMerge w:val="continue"/>
            <w:tcBorders>
              <w:left w:val="single" w:color="auto" w:sz="4" w:space="0"/>
            </w:tcBorders>
            <w:shd w:val="clear" w:color="auto" w:fill="FFFFFF"/>
            <w:vAlign w:val="center"/>
          </w:tcPr>
          <w:p>
            <w:pPr>
              <w:rPr>
                <w:rFonts w:ascii="宋体" w:hAnsi="宋体"/>
              </w:rPr>
            </w:pPr>
          </w:p>
        </w:tc>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（六）其他处理</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75" w:hRule="exact"/>
          <w:jc w:val="center"/>
        </w:trPr>
        <w:tc>
          <w:tcPr>
            <w:vMerge w:val="continue"/>
            <w:tcBorders>
              <w:left w:val="single" w:color="auto" w:sz="4" w:space="0"/>
            </w:tcBorders>
            <w:shd w:val="clear" w:color="auto" w:fill="FFFFFF"/>
            <w:vAlign w:val="center"/>
          </w:tcPr>
          <w:p>
            <w:pPr>
              <w:rPr>
                <w:rFonts w:ascii="宋体" w:hAnsi="宋体"/>
              </w:rPr>
            </w:pPr>
          </w:p>
        </w:tc>
        <w:tc>
          <w:tcPr>
            <w:gridSpan w:val="2"/>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（七）总计</w:t>
            </w: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547" w:hRule="exact"/>
          <w:jc w:val="center"/>
        </w:trPr>
        <w:tc>
          <w:tcPr>
            <w:gridSpan w:val="3"/>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四、结转下年度继续办理</w:t>
            </w:r>
          </w:p>
        </w:tc>
        <w:tc>
          <w:tcPr>
            <w:tcBorders>
              <w:top w:val="single" w:color="auto" w:sz="4" w:space="0"/>
              <w:left w:val="single" w:color="auto" w:sz="4" w:space="0"/>
              <w:bottom w:val="single" w:color="auto" w:sz="4" w:space="0"/>
            </w:tcBorders>
            <w:shd w:val="clear" w:color="auto" w:fill="FFFFFF"/>
            <w:vAlign w:val="top"/>
          </w:tcPr>
          <w:p>
            <w:pPr>
              <w:widowControl w:val="0"/>
              <w:rPr>
                <w:rFonts w:ascii="宋体" w:hAnsi="宋体"/>
                <w:sz w:val="10"/>
                <w:szCs w:val="10"/>
              </w:rPr>
            </w:pPr>
          </w:p>
        </w:tc>
        <w:tc>
          <w:tcPr>
            <w:tcW w:w="648" w:type="dxa"/>
            <w:tcBorders>
              <w:top w:val="single" w:color="auto" w:sz="4" w:space="0"/>
              <w:left w:val="single" w:color="auto" w:sz="4" w:space="0"/>
              <w:bottom w:val="single" w:color="auto" w:sz="4" w:space="0"/>
            </w:tcBorders>
            <w:shd w:val="clear" w:color="auto" w:fill="FFFFFF"/>
            <w:vAlign w:val="top"/>
          </w:tcPr>
          <w:p>
            <w:pPr>
              <w:widowControl w:val="0"/>
              <w:rPr>
                <w:rFonts w:ascii="宋体" w:hAnsi="宋体"/>
                <w:sz w:val="10"/>
                <w:szCs w:val="10"/>
              </w:rPr>
            </w:pPr>
          </w:p>
        </w:tc>
        <w:tc>
          <w:tcPr>
            <w:tcW w:w="624" w:type="dxa"/>
            <w:tcBorders>
              <w:top w:val="single" w:color="auto" w:sz="4" w:space="0"/>
              <w:left w:val="single" w:color="auto" w:sz="4" w:space="0"/>
              <w:bottom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rFonts w:ascii="宋体" w:hAnsi="宋体"/>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ascii="宋体" w:hAnsi="宋体"/>
                <w:sz w:val="10"/>
                <w:szCs w:val="10"/>
              </w:rPr>
            </w:pPr>
          </w:p>
        </w:tc>
      </w:tr>
    </w:tbl>
    <w:p>
      <w:pPr>
        <w:pStyle w:val="5"/>
        <w:keepNext w:val="0"/>
        <w:keepLines w:val="0"/>
        <w:widowControl w:val="0"/>
        <w:shd w:val="clear" w:color="auto" w:fill="auto"/>
        <w:bidi w:val="0"/>
        <w:spacing w:before="0" w:after="260" w:line="240" w:lineRule="auto"/>
        <w:ind w:left="0" w:right="0" w:firstLine="620"/>
        <w:jc w:val="left"/>
        <w:rPr>
          <w:rFonts w:ascii="宋体" w:hAnsi="宋体"/>
          <w:color w:val="000000"/>
          <w:spacing w:val="0"/>
          <w:w w:val="100"/>
          <w:position w:val="0"/>
        </w:rPr>
      </w:pPr>
      <w:bookmarkStart w:id="0" w:name="bookmark37"/>
    </w:p>
    <w:bookmarkEnd w:id="0"/>
    <w:p>
      <w:pPr>
        <w:pStyle w:val="5"/>
        <w:keepNext w:val="0"/>
        <w:keepLines w:val="0"/>
        <w:widowControl w:val="0"/>
        <w:shd w:val="clear" w:color="auto" w:fill="auto"/>
        <w:bidi w:val="0"/>
        <w:spacing w:before="0" w:after="260" w:line="240" w:lineRule="auto"/>
        <w:ind w:left="0" w:right="0" w:firstLine="620"/>
        <w:jc w:val="left"/>
        <w:rPr>
          <w:rFonts w:hint="eastAsia" w:ascii="宋体" w:hAnsi="宋体" w:eastAsia="黑体" w:cs="黑体"/>
          <w:sz w:val="32"/>
          <w:szCs w:val="32"/>
        </w:rPr>
      </w:pPr>
      <w:r>
        <w:rPr>
          <w:rFonts w:hint="eastAsia" w:eastAsia="黑体" w:cs="黑体"/>
          <w:color w:val="000000"/>
          <w:spacing w:val="0"/>
          <w:w w:val="100"/>
          <w:position w:val="0"/>
          <w:sz w:val="32"/>
          <w:szCs w:val="32"/>
          <w:lang w:eastAsia="zh-CN"/>
        </w:rPr>
        <w:t>三</w:t>
      </w:r>
      <w:r>
        <w:rPr>
          <w:rFonts w:hint="eastAsia" w:ascii="宋体" w:hAnsi="宋体" w:eastAsia="黑体" w:cs="黑体"/>
          <w:color w:val="000000"/>
          <w:spacing w:val="0"/>
          <w:w w:val="100"/>
          <w:position w:val="0"/>
          <w:sz w:val="32"/>
          <w:szCs w:val="32"/>
        </w:rPr>
        <w:t>、政府信息公开行政复议、行政诉讼情况</w:t>
      </w:r>
    </w:p>
    <w:tbl>
      <w:tblPr>
        <w:tblStyle w:val="3"/>
        <w:tblW w:w="0" w:type="auto"/>
        <w:jc w:val="center"/>
        <w:tblLayout w:type="fixed"/>
        <w:tblCellMar>
          <w:top w:w="0" w:type="dxa"/>
          <w:left w:w="10" w:type="dxa"/>
          <w:bottom w:w="0" w:type="dxa"/>
          <w:right w:w="10" w:type="dxa"/>
        </w:tblCellMar>
      </w:tblPr>
      <w:tblGrid>
        <w:gridCol w:w="586"/>
        <w:gridCol w:w="595"/>
        <w:gridCol w:w="590"/>
        <w:gridCol w:w="586"/>
        <w:gridCol w:w="590"/>
        <w:gridCol w:w="595"/>
        <w:gridCol w:w="586"/>
        <w:gridCol w:w="600"/>
        <w:gridCol w:w="590"/>
        <w:gridCol w:w="576"/>
        <w:gridCol w:w="595"/>
        <w:gridCol w:w="590"/>
        <w:gridCol w:w="595"/>
        <w:gridCol w:w="600"/>
        <w:gridCol w:w="677"/>
      </w:tblGrid>
      <w:tr>
        <w:tblPrEx>
          <w:tblCellMar>
            <w:top w:w="0" w:type="dxa"/>
            <w:left w:w="10" w:type="dxa"/>
            <w:bottom w:w="0" w:type="dxa"/>
            <w:right w:w="10" w:type="dxa"/>
          </w:tblCellMar>
        </w:tblPrEx>
        <w:trPr>
          <w:trHeight w:val="442" w:hRule="exact"/>
          <w:jc w:val="center"/>
        </w:trPr>
        <w:tc>
          <w:tcPr>
            <w:gridSpan w:val="5"/>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行政复议</w:t>
            </w:r>
          </w:p>
        </w:tc>
        <w:tc>
          <w:tcPr>
            <w:gridSpan w:val="10"/>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行政诉讼</w:t>
            </w:r>
          </w:p>
        </w:tc>
      </w:tr>
      <w:tr>
        <w:tblPrEx>
          <w:tblCellMar>
            <w:top w:w="0" w:type="dxa"/>
            <w:left w:w="10" w:type="dxa"/>
            <w:bottom w:w="0" w:type="dxa"/>
            <w:right w:w="10" w:type="dxa"/>
          </w:tblCellMar>
        </w:tblPrEx>
        <w:trPr>
          <w:trHeight w:val="427" w:hRule="exact"/>
          <w:jc w:val="center"/>
        </w:trPr>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64" w:lineRule="exact"/>
              <w:ind w:left="0" w:right="0" w:firstLine="0"/>
              <w:jc w:val="left"/>
              <w:rPr>
                <w:rFonts w:ascii="宋体" w:hAnsi="宋体"/>
                <w:sz w:val="19"/>
                <w:szCs w:val="19"/>
              </w:rPr>
            </w:pPr>
            <w:r>
              <w:rPr>
                <w:rFonts w:ascii="宋体" w:hAnsi="宋体"/>
                <w:color w:val="000000"/>
                <w:spacing w:val="0"/>
                <w:w w:val="100"/>
                <w:position w:val="0"/>
                <w:sz w:val="19"/>
                <w:szCs w:val="19"/>
              </w:rPr>
              <w:t>结果 维持</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54" w:lineRule="exact"/>
              <w:ind w:left="0" w:right="0" w:firstLine="0"/>
              <w:jc w:val="left"/>
              <w:rPr>
                <w:rFonts w:ascii="宋体" w:hAnsi="宋体"/>
                <w:sz w:val="19"/>
                <w:szCs w:val="19"/>
              </w:rPr>
            </w:pPr>
            <w:r>
              <w:rPr>
                <w:rFonts w:ascii="宋体" w:hAnsi="宋体"/>
                <w:color w:val="000000"/>
                <w:spacing w:val="0"/>
                <w:w w:val="100"/>
                <w:position w:val="0"/>
                <w:sz w:val="19"/>
                <w:szCs w:val="19"/>
              </w:rPr>
              <w:t>结果 纠正</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59" w:lineRule="exact"/>
              <w:ind w:left="0" w:right="0" w:firstLine="0"/>
              <w:jc w:val="center"/>
              <w:rPr>
                <w:rFonts w:ascii="宋体" w:hAnsi="宋体"/>
                <w:sz w:val="19"/>
                <w:szCs w:val="19"/>
              </w:rPr>
            </w:pPr>
            <w:r>
              <w:rPr>
                <w:rFonts w:ascii="宋体" w:hAnsi="宋体"/>
                <w:color w:val="000000"/>
                <w:spacing w:val="0"/>
                <w:w w:val="100"/>
                <w:position w:val="0"/>
                <w:sz w:val="19"/>
                <w:szCs w:val="19"/>
              </w:rPr>
              <w:t>其他 结果</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64" w:lineRule="exact"/>
              <w:ind w:left="0" w:right="0" w:firstLine="0"/>
              <w:jc w:val="left"/>
              <w:rPr>
                <w:rFonts w:ascii="宋体" w:hAnsi="宋体"/>
                <w:sz w:val="19"/>
                <w:szCs w:val="19"/>
              </w:rPr>
            </w:pPr>
            <w:r>
              <w:rPr>
                <w:rFonts w:ascii="宋体" w:hAnsi="宋体"/>
                <w:color w:val="000000"/>
                <w:spacing w:val="0"/>
                <w:w w:val="100"/>
                <w:position w:val="0"/>
                <w:sz w:val="19"/>
                <w:szCs w:val="19"/>
              </w:rPr>
              <w:t>尚未 审结</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总计</w:t>
            </w:r>
          </w:p>
        </w:tc>
        <w:tc>
          <w:tcPr>
            <w:gridSpan w:val="5"/>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未经复议直接起诉</w:t>
            </w:r>
          </w:p>
        </w:tc>
        <w:tc>
          <w:tcPr>
            <w:gridSpan w:val="5"/>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复议后起诉</w:t>
            </w:r>
          </w:p>
        </w:tc>
      </w:tr>
      <w:tr>
        <w:tblPrEx>
          <w:tblCellMar>
            <w:top w:w="0" w:type="dxa"/>
            <w:left w:w="10" w:type="dxa"/>
            <w:bottom w:w="0" w:type="dxa"/>
            <w:right w:w="10" w:type="dxa"/>
          </w:tblCellMar>
        </w:tblPrEx>
        <w:trPr>
          <w:trHeight w:val="624"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64" w:lineRule="exact"/>
              <w:ind w:left="0" w:right="0" w:firstLine="0"/>
              <w:jc w:val="center"/>
              <w:rPr>
                <w:rFonts w:ascii="宋体" w:hAnsi="宋体"/>
                <w:sz w:val="19"/>
                <w:szCs w:val="19"/>
              </w:rPr>
            </w:pPr>
            <w:r>
              <w:rPr>
                <w:rFonts w:ascii="宋体" w:hAnsi="宋体"/>
                <w:color w:val="000000"/>
                <w:spacing w:val="0"/>
                <w:w w:val="100"/>
                <w:position w:val="0"/>
                <w:sz w:val="19"/>
                <w:szCs w:val="19"/>
              </w:rPr>
              <w:t>结果 维持</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50" w:lineRule="exact"/>
              <w:ind w:left="0" w:right="0" w:firstLine="0"/>
              <w:jc w:val="center"/>
              <w:rPr>
                <w:rFonts w:ascii="宋体" w:hAnsi="宋体"/>
                <w:sz w:val="19"/>
                <w:szCs w:val="19"/>
              </w:rPr>
            </w:pPr>
            <w:r>
              <w:rPr>
                <w:rFonts w:ascii="宋体" w:hAnsi="宋体"/>
                <w:color w:val="000000"/>
                <w:spacing w:val="0"/>
                <w:w w:val="100"/>
                <w:position w:val="0"/>
                <w:sz w:val="19"/>
                <w:szCs w:val="19"/>
              </w:rPr>
              <w:t>结果 纠正</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其他</w:t>
            </w:r>
          </w:p>
          <w:p>
            <w:pPr>
              <w:pStyle w:val="6"/>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结果</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59" w:lineRule="exact"/>
              <w:ind w:left="0" w:right="0" w:firstLine="0"/>
              <w:jc w:val="center"/>
              <w:rPr>
                <w:rFonts w:ascii="宋体" w:hAnsi="宋体"/>
                <w:sz w:val="19"/>
                <w:szCs w:val="19"/>
              </w:rPr>
            </w:pPr>
            <w:r>
              <w:rPr>
                <w:rFonts w:ascii="宋体" w:hAnsi="宋体"/>
                <w:color w:val="000000"/>
                <w:spacing w:val="0"/>
                <w:w w:val="100"/>
                <w:position w:val="0"/>
                <w:sz w:val="19"/>
                <w:szCs w:val="19"/>
              </w:rPr>
              <w:t>尚未 审结</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总计</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59" w:lineRule="exact"/>
              <w:ind w:left="0" w:right="0" w:firstLine="0"/>
              <w:jc w:val="center"/>
              <w:rPr>
                <w:rFonts w:ascii="宋体" w:hAnsi="宋体"/>
                <w:sz w:val="19"/>
                <w:szCs w:val="19"/>
              </w:rPr>
            </w:pPr>
            <w:r>
              <w:rPr>
                <w:rFonts w:ascii="宋体" w:hAnsi="宋体"/>
                <w:color w:val="000000"/>
                <w:spacing w:val="0"/>
                <w:w w:val="100"/>
                <w:position w:val="0"/>
                <w:sz w:val="19"/>
                <w:szCs w:val="19"/>
              </w:rPr>
              <w:t>结果 维持</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50" w:lineRule="exact"/>
              <w:ind w:left="0" w:right="0" w:firstLine="0"/>
              <w:jc w:val="center"/>
              <w:rPr>
                <w:rFonts w:ascii="宋体" w:hAnsi="宋体"/>
                <w:sz w:val="19"/>
                <w:szCs w:val="19"/>
              </w:rPr>
            </w:pPr>
            <w:r>
              <w:rPr>
                <w:rFonts w:ascii="宋体" w:hAnsi="宋体"/>
                <w:color w:val="000000"/>
                <w:spacing w:val="0"/>
                <w:w w:val="100"/>
                <w:position w:val="0"/>
                <w:sz w:val="19"/>
                <w:szCs w:val="19"/>
              </w:rPr>
              <w:t>结果 纠正</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59" w:lineRule="exact"/>
              <w:ind w:left="0" w:right="0" w:firstLine="0"/>
              <w:jc w:val="center"/>
              <w:rPr>
                <w:rFonts w:ascii="宋体" w:hAnsi="宋体"/>
                <w:sz w:val="19"/>
                <w:szCs w:val="19"/>
              </w:rPr>
            </w:pPr>
            <w:r>
              <w:rPr>
                <w:rFonts w:ascii="宋体" w:hAnsi="宋体"/>
                <w:color w:val="000000"/>
                <w:spacing w:val="0"/>
                <w:w w:val="100"/>
                <w:position w:val="0"/>
                <w:sz w:val="19"/>
                <w:szCs w:val="19"/>
              </w:rPr>
              <w:t>其他 结果</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64" w:lineRule="exact"/>
              <w:ind w:left="0" w:right="0" w:firstLine="0"/>
              <w:jc w:val="left"/>
              <w:rPr>
                <w:rFonts w:ascii="宋体" w:hAnsi="宋体"/>
                <w:sz w:val="19"/>
                <w:szCs w:val="19"/>
              </w:rPr>
            </w:pPr>
            <w:r>
              <w:rPr>
                <w:rFonts w:ascii="宋体" w:hAnsi="宋体"/>
                <w:color w:val="000000"/>
                <w:spacing w:val="0"/>
                <w:w w:val="100"/>
                <w:position w:val="0"/>
                <w:sz w:val="19"/>
                <w:szCs w:val="19"/>
              </w:rPr>
              <w:t>尚未 审结</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总计</w:t>
            </w:r>
          </w:p>
        </w:tc>
      </w:tr>
      <w:tr>
        <w:tblPrEx>
          <w:tblCellMar>
            <w:top w:w="0" w:type="dxa"/>
            <w:left w:w="10" w:type="dxa"/>
            <w:bottom w:w="0" w:type="dxa"/>
            <w:right w:w="10" w:type="dxa"/>
          </w:tblCellMar>
        </w:tblPrEx>
        <w:trPr>
          <w:trHeight w:val="442"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sz w:val="32"/>
                <w:szCs w:val="32"/>
                <w:lang w:val="en-US" w:eastAsia="zh-CN"/>
              </w:rPr>
            </w:pPr>
            <w:r>
              <w:rPr>
                <w:rFonts w:hint="eastAsia" w:ascii="宋体" w:hAnsi="宋体"/>
                <w:sz w:val="32"/>
                <w:szCs w:val="32"/>
                <w:lang w:val="en-US" w:eastAsia="zh-CN"/>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default" w:ascii="宋体" w:hAnsi="宋体"/>
                <w:sz w:val="32"/>
                <w:szCs w:val="32"/>
                <w:lang w:val="en-US" w:eastAsia="zh-CN"/>
              </w:rPr>
            </w:pPr>
            <w:r>
              <w:rPr>
                <w:rFonts w:hint="eastAsia" w:ascii="宋体" w:hAnsi="宋体"/>
                <w:sz w:val="32"/>
                <w:szCs w:val="32"/>
                <w:lang w:val="en-US" w:eastAsia="zh-CN"/>
              </w:rPr>
              <w:t>0</w:t>
            </w:r>
          </w:p>
        </w:tc>
      </w:tr>
    </w:tbl>
    <w:p>
      <w:pPr>
        <w:widowControl w:val="0"/>
        <w:spacing w:after="259" w:line="1" w:lineRule="exact"/>
        <w:rPr>
          <w:rFonts w:ascii="宋体" w:hAnsi="宋体"/>
        </w:rPr>
      </w:pPr>
    </w:p>
    <w:p>
      <w:pPr>
        <w:pStyle w:val="5"/>
        <w:keepNext w:val="0"/>
        <w:keepLines w:val="0"/>
        <w:pageBreakBefore w:val="0"/>
        <w:widowControl w:val="0"/>
        <w:shd w:val="clear" w:color="auto" w:fill="auto"/>
        <w:tabs>
          <w:tab w:val="left" w:pos="1242"/>
        </w:tabs>
        <w:kinsoku/>
        <w:wordWrap/>
        <w:overflowPunct/>
        <w:topLinePunct w:val="0"/>
        <w:autoSpaceDE/>
        <w:autoSpaceDN/>
        <w:bidi w:val="0"/>
        <w:adjustRightInd/>
        <w:snapToGrid/>
        <w:spacing w:before="0" w:line="540" w:lineRule="exact"/>
        <w:ind w:left="0" w:right="0" w:firstLine="620"/>
        <w:jc w:val="left"/>
        <w:textAlignment w:val="auto"/>
        <w:rPr>
          <w:rFonts w:hint="eastAsia" w:ascii="宋体" w:hAnsi="宋体" w:eastAsia="黑体" w:cs="黑体"/>
          <w:sz w:val="32"/>
          <w:szCs w:val="32"/>
        </w:rPr>
      </w:pPr>
      <w:r>
        <w:rPr>
          <w:rFonts w:hint="eastAsia" w:eastAsia="黑体" w:cs="黑体"/>
          <w:color w:val="000000"/>
          <w:spacing w:val="0"/>
          <w:w w:val="100"/>
          <w:position w:val="0"/>
          <w:sz w:val="32"/>
          <w:szCs w:val="32"/>
          <w:lang w:eastAsia="zh-CN"/>
        </w:rPr>
        <w:t>四</w:t>
      </w:r>
      <w:r>
        <w:rPr>
          <w:rFonts w:hint="eastAsia" w:ascii="宋体" w:hAnsi="宋体" w:eastAsia="黑体" w:cs="黑体"/>
          <w:color w:val="000000"/>
          <w:spacing w:val="0"/>
          <w:w w:val="100"/>
          <w:position w:val="0"/>
          <w:sz w:val="32"/>
          <w:szCs w:val="32"/>
        </w:rPr>
        <w:t>、存在的主要问题及改进情况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562" w:firstLineChars="200"/>
        <w:jc w:val="both"/>
        <w:textAlignment w:val="auto"/>
        <w:rPr>
          <w:rFonts w:hint="eastAsia" w:ascii="仿宋_GB2312" w:hAnsi="仿宋_GB2312" w:eastAsia="仿宋_GB2312" w:cs="仿宋_GB2312"/>
          <w:b/>
          <w:bCs/>
          <w:i w:val="0"/>
          <w:color w:val="000000"/>
          <w:sz w:val="28"/>
          <w:szCs w:val="28"/>
          <w:u w:val="none"/>
          <w:lang w:val="en-US" w:eastAsia="zh-CN"/>
        </w:rPr>
      </w:pPr>
      <w:bookmarkStart w:id="1" w:name="bookmark39"/>
      <w:r>
        <w:rPr>
          <w:rFonts w:hint="eastAsia" w:ascii="仿宋_GB2312" w:hAnsi="仿宋_GB2312" w:eastAsia="仿宋_GB2312" w:cs="仿宋_GB2312"/>
          <w:b/>
          <w:bCs/>
          <w:i w:val="0"/>
          <w:color w:val="000000"/>
          <w:sz w:val="28"/>
          <w:szCs w:val="28"/>
          <w:u w:val="none"/>
          <w:lang w:val="en-US" w:eastAsia="zh-CN"/>
        </w:rPr>
        <w:t>（一）主要问题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按照县政府有关政府信息公开工作要求，2020年度，我局政务信息公开工作取得了积极成效，但也存在一些不足。一是尽管新修订的《中华人民共和国政府信息公开条例》已经实施一年多，但部分人员在处理政府信息依申请公开工作中，仍停留在对原《条例》的理解，对目前实施《条例》的新要求、新变化理解不够深入，了解不够全面。二是信息公开内容深度和广度还不够。三信息公开形式有待拓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562" w:firstLineChars="200"/>
        <w:jc w:val="both"/>
        <w:textAlignment w:val="auto"/>
        <w:rPr>
          <w:rFonts w:hint="eastAsia" w:ascii="仿宋_GB2312" w:hAnsi="仿宋_GB2312" w:eastAsia="仿宋_GB2312" w:cs="仿宋_GB2312"/>
          <w:b/>
          <w:bCs/>
          <w:i w:val="0"/>
          <w:color w:val="000000"/>
          <w:sz w:val="28"/>
          <w:szCs w:val="28"/>
          <w:u w:val="none"/>
          <w:lang w:val="en-US" w:eastAsia="zh-CN"/>
        </w:rPr>
      </w:pPr>
      <w:r>
        <w:rPr>
          <w:rFonts w:hint="eastAsia" w:ascii="仿宋_GB2312" w:hAnsi="仿宋_GB2312" w:eastAsia="仿宋_GB2312" w:cs="仿宋_GB2312"/>
          <w:b/>
          <w:bCs/>
          <w:i w:val="0"/>
          <w:color w:val="000000"/>
          <w:sz w:val="28"/>
          <w:szCs w:val="28"/>
          <w:u w:val="none"/>
          <w:lang w:val="en-US" w:eastAsia="zh-CN"/>
        </w:rPr>
        <w:t>(二）改进措施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一是加强信息联络人员与业务股室的衔接与沟通，努力将信息公开与信息收集同步进行，确保信息的及时、准确、全面；二是加强信息联络人员的培训，着力提高机关工作人员信息公开意识。</w:t>
      </w:r>
    </w:p>
    <w:bookmarkEnd w:id="1"/>
    <w:p>
      <w:pPr>
        <w:pStyle w:val="5"/>
        <w:keepNext w:val="0"/>
        <w:keepLines w:val="0"/>
        <w:pageBreakBefore w:val="0"/>
        <w:widowControl w:val="0"/>
        <w:shd w:val="clear" w:color="auto" w:fill="auto"/>
        <w:tabs>
          <w:tab w:val="left" w:pos="1242"/>
        </w:tabs>
        <w:kinsoku/>
        <w:wordWrap/>
        <w:overflowPunct/>
        <w:topLinePunct w:val="0"/>
        <w:autoSpaceDE/>
        <w:autoSpaceDN/>
        <w:bidi w:val="0"/>
        <w:adjustRightInd/>
        <w:snapToGrid/>
        <w:spacing w:before="0" w:line="540" w:lineRule="exact"/>
        <w:ind w:left="0" w:right="0" w:firstLine="620"/>
        <w:jc w:val="left"/>
        <w:textAlignment w:val="auto"/>
        <w:rPr>
          <w:rFonts w:hint="eastAsia" w:ascii="宋体" w:hAnsi="宋体" w:eastAsia="黑体" w:cs="黑体"/>
          <w:sz w:val="32"/>
          <w:szCs w:val="32"/>
        </w:rPr>
      </w:pPr>
      <w:r>
        <w:rPr>
          <w:rFonts w:hint="eastAsia" w:eastAsia="黑体" w:cs="黑体"/>
          <w:color w:val="000000"/>
          <w:spacing w:val="0"/>
          <w:w w:val="100"/>
          <w:position w:val="0"/>
          <w:sz w:val="32"/>
          <w:szCs w:val="32"/>
          <w:lang w:eastAsia="zh-CN"/>
        </w:rPr>
        <w:t>五</w:t>
      </w:r>
      <w:r>
        <w:rPr>
          <w:rFonts w:hint="eastAsia" w:ascii="宋体" w:hAnsi="宋体" w:eastAsia="黑体" w:cs="黑体"/>
          <w:color w:val="000000"/>
          <w:spacing w:val="0"/>
          <w:w w:val="100"/>
          <w:position w:val="0"/>
          <w:sz w:val="32"/>
          <w:szCs w:val="32"/>
        </w:rPr>
        <w:t>、其他需要报告的事项</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无</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right="0" w:firstLine="640" w:firstLineChars="200"/>
        <w:jc w:val="both"/>
        <w:textAlignment w:val="auto"/>
      </w:pPr>
      <w:r>
        <w:rPr>
          <w:rFonts w:ascii="仿宋_GB2312" w:eastAsia="仿宋_GB2312" w:cs="仿宋_GB2312" w:hAnsiTheme="minorHAnsi"/>
          <w:caps w:val="0"/>
          <w:spacing w:val="0"/>
          <w:kern w:val="0"/>
          <w:sz w:val="32"/>
          <w:szCs w:val="32"/>
          <w:shd w:val="clear" w:fill="FFFFFF"/>
          <w:lang w:val="en-US" w:eastAsia="zh-CN" w:bidi="ar"/>
        </w:rPr>
        <w:t>本年度报告的电子版可以从上犹县人民政府网站（www.shangyou.gov.cn）下载。</w:t>
      </w:r>
      <w:r>
        <w:rPr>
          <w:rFonts w:hint="eastAsia" w:ascii="仿宋_GB2312" w:eastAsia="仿宋_GB2312" w:cs="仿宋_GB2312" w:hAnsiTheme="minorHAnsi"/>
          <w:kern w:val="0"/>
          <w:sz w:val="32"/>
          <w:szCs w:val="32"/>
          <w:lang w:val="en-US" w:eastAsia="zh-CN" w:bidi="ar"/>
        </w:rPr>
        <w:t>如对本报告有任何疑问，请与上犹县司法局人秘股联系（地址：稍口行政小区B栋二楼，电话：7135766，邮编：341200）。</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right"/>
        <w:textAlignment w:val="auto"/>
        <w:rPr>
          <w:rFonts w:hint="default"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2021年1月29日</w:t>
      </w:r>
    </w:p>
    <w:sectPr>
      <w:footerReference r:id="rId3" w:type="default"/>
      <w:pgSz w:w="11906" w:h="16838"/>
      <w:pgMar w:top="1440" w:right="1587" w:bottom="567" w:left="1587" w:header="851" w:footer="935"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ge">
                <wp:posOffset>9803130</wp:posOffset>
              </wp:positionV>
              <wp:extent cx="149225"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149225" cy="11874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fldChar w:fldCharType="end"/>
                          </w:r>
                          <w:r>
                            <w:rPr>
                              <w:rFonts w:hint="eastAsia" w:asciiTheme="minorEastAsia" w:hAnsiTheme="minorEastAsia" w:cstheme="minorEastAsia"/>
                              <w:color w:val="000000"/>
                              <w:spacing w:val="0"/>
                              <w:w w:val="100"/>
                              <w:position w:val="0"/>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a:spAutoFit/>
                    </wps:bodyPr>
                  </wps:wsp>
                </a:graphicData>
              </a:graphic>
            </wp:anchor>
          </w:drawing>
        </mc:Choice>
        <mc:Fallback>
          <w:pict>
            <v:shape id="Shape 7" o:spid="_x0000_s1026" o:spt="202" type="#_x0000_t202" style="position:absolute;left:0pt;margin-top:771.9pt;height:9.35pt;width:11.75pt;mso-position-horizontal:outside;mso-position-horizontal-relative:margin;mso-position-vertical-relative:page;mso-wrap-style:none;z-index:251659264;mso-width-relative:page;mso-height-relative:page;" filled="f" stroked="f" coordsize="21600,21600" o:gfxdata="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91o//NUAAAAJ&#10;AQAADwAAAAAAAAABACAAAAAiAAAAZHJzL2Rvd25yZXYueG1sUEsBAhQAFAAAAAgAh07iQEnG2R+t&#10;AQAAbwMAAA4AAAAAAAAAAQAgAAAAJAEAAGRycy9lMm9Eb2MueG1sUEsFBgAAAAAGAAYAWQEAAEMF&#10;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fldChar w:fldCharType="end"/>
                    </w:r>
                    <w:r>
                      <w:rPr>
                        <w:rFonts w:hint="eastAsia" w:asciiTheme="minorEastAsia" w:hAnsiTheme="minorEastAsia" w:cstheme="minorEastAsia"/>
                        <w:color w:val="000000"/>
                        <w:spacing w:val="0"/>
                        <w:w w:val="100"/>
                        <w:position w:val="0"/>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MTMyM2UyYTllYTFjMGJkOGY4OTgxNmViZmExZWIifQ=="/>
  </w:docVars>
  <w:rsids>
    <w:rsidRoot w:val="68860055"/>
    <w:rsid w:val="02564943"/>
    <w:rsid w:val="06774135"/>
    <w:rsid w:val="06F276EE"/>
    <w:rsid w:val="0CC204A7"/>
    <w:rsid w:val="0E494FAB"/>
    <w:rsid w:val="0F3F36F5"/>
    <w:rsid w:val="0FF6209B"/>
    <w:rsid w:val="114B6F33"/>
    <w:rsid w:val="1B7A56E5"/>
    <w:rsid w:val="1D2544F4"/>
    <w:rsid w:val="25CB020E"/>
    <w:rsid w:val="2ACC0CB6"/>
    <w:rsid w:val="2CED4086"/>
    <w:rsid w:val="3A903401"/>
    <w:rsid w:val="3F3D7024"/>
    <w:rsid w:val="45A77612"/>
    <w:rsid w:val="472245EB"/>
    <w:rsid w:val="48423F2E"/>
    <w:rsid w:val="49086999"/>
    <w:rsid w:val="4A864534"/>
    <w:rsid w:val="4C54310D"/>
    <w:rsid w:val="4D3453F8"/>
    <w:rsid w:val="4FEF1369"/>
    <w:rsid w:val="50BC58DF"/>
    <w:rsid w:val="542D461A"/>
    <w:rsid w:val="56AF09B6"/>
    <w:rsid w:val="59104B84"/>
    <w:rsid w:val="5DAD0B5C"/>
    <w:rsid w:val="60084CE9"/>
    <w:rsid w:val="647E44DA"/>
    <w:rsid w:val="68860055"/>
    <w:rsid w:val="68A53928"/>
    <w:rsid w:val="6A6B57B2"/>
    <w:rsid w:val="6E4F5B0B"/>
    <w:rsid w:val="749D2797"/>
    <w:rsid w:val="74A420A5"/>
    <w:rsid w:val="77EBA0A9"/>
    <w:rsid w:val="78337608"/>
    <w:rsid w:val="7D5312B7"/>
    <w:rsid w:val="FDBB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Body text|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7">
    <w:name w:val="Header or footer|1"/>
    <w:basedOn w:val="1"/>
    <w:qFormat/>
    <w:uiPriority w:val="0"/>
    <w:pPr>
      <w:widowControl w:val="0"/>
      <w:shd w:val="clear" w:color="auto" w:fill="auto"/>
    </w:pPr>
    <w:rPr>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2237</Words>
  <Characters>2360</Characters>
  <Lines>0</Lines>
  <Paragraphs>0</Paragraphs>
  <TotalTime>48</TotalTime>
  <ScaleCrop>false</ScaleCrop>
  <LinksUpToDate>false</LinksUpToDate>
  <CharactersWithSpaces>2385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2020-01-10T17:09:00Z</dcterms:created>
  <dc:creator>旷且</dc:creator>
  <cp:lastModifiedBy>WPS_1433553809</cp:lastModifiedBy>
  <cp:lastPrinted>2021-01-27T08:11:00Z</cp:lastPrinted>
  <dcterms:modified xsi:type="dcterms:W3CDTF">2022-11-30T08:55:21Z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58E6CD11D28F423EAF284266957B1AF2</vt:lpwstr>
  </property>
</Properties>
</file>