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highlight w:val="none"/>
          <w:shd w:val="clear" w:fill="FFFFFF"/>
          <w:lang w:val="en-US" w:eastAsia="zh-CN"/>
        </w:rPr>
        <w:t>上犹县人力资源和社会保障局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shd w:val="clear" w:fill="FFFFFF"/>
        </w:rPr>
      </w:pPr>
      <w:r>
        <w:rPr>
          <w:rFonts w:hint="eastAsia" w:ascii="方正小标宋简体" w:hAnsi="方正小标宋简体" w:eastAsia="方正小标宋简体" w:cs="方正小标宋简体"/>
          <w:b w:val="0"/>
          <w:bCs/>
          <w:i w:val="0"/>
          <w:caps w:val="0"/>
          <w:color w:val="auto"/>
          <w:spacing w:val="0"/>
          <w:sz w:val="44"/>
          <w:szCs w:val="44"/>
          <w:highlight w:val="none"/>
          <w:shd w:val="clear" w:fill="FFFFFF"/>
          <w:lang w:val="en-US" w:eastAsia="zh-CN"/>
        </w:rPr>
        <w:t>2020年</w:t>
      </w:r>
      <w:r>
        <w:rPr>
          <w:rFonts w:hint="eastAsia" w:ascii="方正小标宋简体" w:hAnsi="方正小标宋简体" w:eastAsia="方正小标宋简体" w:cs="方正小标宋简体"/>
          <w:b w:val="0"/>
          <w:bCs/>
          <w:i w:val="0"/>
          <w:caps w:val="0"/>
          <w:color w:val="auto"/>
          <w:spacing w:val="0"/>
          <w:sz w:val="44"/>
          <w:szCs w:val="44"/>
          <w:highlight w:val="none"/>
          <w:shd w:val="clear" w:fill="FFFFFF"/>
        </w:rPr>
        <w:t>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rPr>
        <w:t>本报告依据《中华人民共和国政府信息公开条例》（国务院令第711号，以下简称新《条例》）和《国务院办公厅政府信息与政务公开办公室关于政府信息公开工作年度报</w:t>
      </w:r>
      <w:r>
        <w:rPr>
          <w:rFonts w:hint="eastAsia" w:ascii="仿宋_GB2312" w:hAnsi="仿宋_GB2312" w:eastAsia="仿宋_GB2312" w:cs="仿宋_GB2312"/>
          <w:i w:val="0"/>
          <w:caps w:val="0"/>
          <w:color w:val="auto"/>
          <w:spacing w:val="0"/>
          <w:sz w:val="32"/>
          <w:szCs w:val="32"/>
          <w:highlight w:val="none"/>
        </w:rPr>
        <w:t>告有关事项的通知》（国办公开办函〔2019〕60号）要求，由</w:t>
      </w:r>
      <w:r>
        <w:rPr>
          <w:rFonts w:hint="eastAsia" w:ascii="仿宋_GB2312" w:hAnsi="仿宋_GB2312" w:eastAsia="仿宋_GB2312" w:cs="仿宋_GB2312"/>
          <w:i w:val="0"/>
          <w:caps w:val="0"/>
          <w:color w:val="auto"/>
          <w:spacing w:val="0"/>
          <w:sz w:val="32"/>
          <w:szCs w:val="32"/>
          <w:highlight w:val="none"/>
          <w:lang w:val="en-US" w:eastAsia="zh-CN"/>
        </w:rPr>
        <w:t>上犹县人社局</w:t>
      </w:r>
      <w:r>
        <w:rPr>
          <w:rFonts w:hint="eastAsia" w:ascii="仿宋_GB2312" w:hAnsi="仿宋_GB2312" w:eastAsia="仿宋_GB2312" w:cs="仿宋_GB2312"/>
          <w:i w:val="0"/>
          <w:caps w:val="0"/>
          <w:color w:val="auto"/>
          <w:spacing w:val="0"/>
          <w:sz w:val="32"/>
          <w:szCs w:val="32"/>
          <w:highlight w:val="none"/>
        </w:rPr>
        <w:t>结合有关统计数据编制。本年度报告中所列数据的统计期限自</w:t>
      </w:r>
      <w:r>
        <w:rPr>
          <w:rFonts w:hint="eastAsia" w:ascii="仿宋_GB2312" w:hAnsi="仿宋_GB2312" w:eastAsia="仿宋_GB2312" w:cs="仿宋_GB2312"/>
          <w:i w:val="0"/>
          <w:caps w:val="0"/>
          <w:color w:val="auto"/>
          <w:spacing w:val="0"/>
          <w:sz w:val="32"/>
          <w:szCs w:val="32"/>
          <w:highlight w:val="none"/>
          <w:lang w:val="en-US" w:eastAsia="zh-CN"/>
        </w:rPr>
        <w:t>2020</w:t>
      </w:r>
      <w:r>
        <w:rPr>
          <w:rFonts w:hint="eastAsia" w:ascii="仿宋_GB2312" w:hAnsi="仿宋_GB2312" w:eastAsia="仿宋_GB2312" w:cs="仿宋_GB2312"/>
          <w:i w:val="0"/>
          <w:caps w:val="0"/>
          <w:color w:val="auto"/>
          <w:spacing w:val="0"/>
          <w:sz w:val="32"/>
          <w:szCs w:val="32"/>
          <w:highlight w:val="none"/>
        </w:rPr>
        <w:t>年1月1日起至</w:t>
      </w:r>
      <w:r>
        <w:rPr>
          <w:rFonts w:hint="eastAsia" w:ascii="仿宋_GB2312" w:hAnsi="仿宋_GB2312" w:eastAsia="仿宋_GB2312" w:cs="仿宋_GB2312"/>
          <w:i w:val="0"/>
          <w:caps w:val="0"/>
          <w:color w:val="auto"/>
          <w:spacing w:val="0"/>
          <w:sz w:val="32"/>
          <w:szCs w:val="32"/>
          <w:highlight w:val="none"/>
          <w:lang w:val="en-US" w:eastAsia="zh-CN"/>
        </w:rPr>
        <w:t>2020</w:t>
      </w:r>
      <w:r>
        <w:rPr>
          <w:rFonts w:hint="eastAsia" w:ascii="仿宋_GB2312" w:hAnsi="仿宋_GB2312" w:eastAsia="仿宋_GB2312" w:cs="仿宋_GB2312"/>
          <w:i w:val="0"/>
          <w:caps w:val="0"/>
          <w:color w:val="auto"/>
          <w:spacing w:val="0"/>
          <w:sz w:val="32"/>
          <w:szCs w:val="32"/>
          <w:highlight w:val="none"/>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仿宋_GB2312" w:hAnsi="仿宋_GB2312" w:eastAsia="仿宋_GB2312" w:cs="仿宋_GB2312"/>
          <w:i w:val="0"/>
          <w:caps w:val="0"/>
          <w:color w:val="auto"/>
          <w:spacing w:val="0"/>
          <w:sz w:val="32"/>
          <w:szCs w:val="32"/>
          <w:highlight w:val="none"/>
          <w:lang w:val="en-US" w:eastAsia="zh-CN"/>
        </w:rPr>
        <w:t>上犹县</w:t>
      </w:r>
      <w:r>
        <w:rPr>
          <w:rFonts w:hint="eastAsia" w:ascii="仿宋_GB2312" w:hAnsi="仿宋_GB2312" w:eastAsia="仿宋_GB2312" w:cs="仿宋_GB2312"/>
          <w:i w:val="0"/>
          <w:caps w:val="0"/>
          <w:color w:val="auto"/>
          <w:spacing w:val="0"/>
          <w:sz w:val="32"/>
          <w:szCs w:val="32"/>
          <w:highlight w:val="none"/>
        </w:rPr>
        <w:t>人民政府网站下载。如对本报告有任何疑问，请与</w:t>
      </w:r>
      <w:r>
        <w:rPr>
          <w:rFonts w:hint="eastAsia" w:ascii="仿宋_GB2312" w:hAnsi="仿宋_GB2312" w:eastAsia="仿宋_GB2312" w:cs="仿宋_GB2312"/>
          <w:i w:val="0"/>
          <w:caps w:val="0"/>
          <w:color w:val="auto"/>
          <w:spacing w:val="0"/>
          <w:sz w:val="32"/>
          <w:szCs w:val="32"/>
          <w:highlight w:val="none"/>
          <w:lang w:val="en-US" w:eastAsia="zh-CN"/>
        </w:rPr>
        <w:t>上犹县人社局综合股</w:t>
      </w:r>
      <w:r>
        <w:rPr>
          <w:rFonts w:hint="eastAsia" w:ascii="仿宋_GB2312" w:hAnsi="仿宋_GB2312" w:eastAsia="仿宋_GB2312" w:cs="仿宋_GB2312"/>
          <w:i w:val="0"/>
          <w:caps w:val="0"/>
          <w:color w:val="auto"/>
          <w:spacing w:val="0"/>
          <w:sz w:val="32"/>
          <w:szCs w:val="32"/>
          <w:highlight w:val="none"/>
        </w:rPr>
        <w:t>联系（地址：</w:t>
      </w:r>
      <w:r>
        <w:rPr>
          <w:rFonts w:hint="eastAsia" w:ascii="仿宋_GB2312" w:hAnsi="仿宋_GB2312" w:eastAsia="仿宋_GB2312" w:cs="仿宋_GB2312"/>
          <w:i w:val="0"/>
          <w:caps w:val="0"/>
          <w:color w:val="auto"/>
          <w:spacing w:val="0"/>
          <w:sz w:val="32"/>
          <w:szCs w:val="32"/>
          <w:highlight w:val="none"/>
          <w:lang w:val="en-US" w:eastAsia="zh-CN"/>
        </w:rPr>
        <w:t>上犹县东山镇行政服务小区E栋513室</w:t>
      </w:r>
      <w:r>
        <w:rPr>
          <w:rFonts w:hint="eastAsia" w:ascii="仿宋_GB2312" w:hAnsi="仿宋_GB2312" w:eastAsia="仿宋_GB2312" w:cs="仿宋_GB2312"/>
          <w:i w:val="0"/>
          <w:caps w:val="0"/>
          <w:color w:val="auto"/>
          <w:spacing w:val="0"/>
          <w:sz w:val="32"/>
          <w:szCs w:val="32"/>
          <w:highlight w:val="none"/>
        </w:rPr>
        <w:t>，电话：</w:t>
      </w:r>
      <w:r>
        <w:rPr>
          <w:rFonts w:hint="eastAsia" w:ascii="仿宋_GB2312" w:hAnsi="仿宋_GB2312" w:eastAsia="仿宋_GB2312" w:cs="仿宋_GB2312"/>
          <w:i w:val="0"/>
          <w:caps w:val="0"/>
          <w:color w:val="auto"/>
          <w:spacing w:val="0"/>
          <w:sz w:val="32"/>
          <w:szCs w:val="32"/>
          <w:highlight w:val="none"/>
          <w:lang w:val="en-US" w:eastAsia="zh-CN"/>
        </w:rPr>
        <w:t>0797-7132995</w:t>
      </w:r>
      <w:r>
        <w:rPr>
          <w:rFonts w:hint="eastAsia" w:ascii="仿宋_GB2312" w:hAnsi="仿宋_GB2312" w:eastAsia="仿宋_GB2312" w:cs="仿宋_GB2312"/>
          <w:i w:val="0"/>
          <w:caps w:val="0"/>
          <w:color w:val="auto"/>
          <w:spacing w:val="0"/>
          <w:sz w:val="32"/>
          <w:szCs w:val="32"/>
          <w:highlight w:val="none"/>
        </w:rPr>
        <w:t>，邮编：</w:t>
      </w:r>
      <w:r>
        <w:rPr>
          <w:rFonts w:hint="eastAsia" w:ascii="仿宋_GB2312" w:hAnsi="仿宋_GB2312" w:eastAsia="仿宋_GB2312" w:cs="仿宋_GB2312"/>
          <w:i w:val="0"/>
          <w:caps w:val="0"/>
          <w:color w:val="auto"/>
          <w:spacing w:val="0"/>
          <w:sz w:val="32"/>
          <w:szCs w:val="32"/>
          <w:highlight w:val="none"/>
          <w:lang w:val="en-US" w:eastAsia="zh-CN"/>
        </w:rPr>
        <w:t>341200</w:t>
      </w:r>
      <w:r>
        <w:rPr>
          <w:rFonts w:hint="eastAsia" w:ascii="仿宋_GB2312" w:hAnsi="仿宋_GB2312" w:eastAsia="仿宋_GB2312" w:cs="仿宋_GB2312"/>
          <w:i w:val="0"/>
          <w:caps w:val="0"/>
          <w:color w:val="auto"/>
          <w:spacing w:val="0"/>
          <w:sz w:val="32"/>
          <w:szCs w:val="32"/>
          <w:highlight w:val="none"/>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highlight w:val="none"/>
          <w:shd w:val="clear" w:fill="FFFFFF"/>
        </w:rPr>
      </w:pPr>
      <w:r>
        <w:rPr>
          <w:rFonts w:hint="eastAsia" w:ascii="黑体" w:hAnsi="黑体" w:eastAsia="黑体" w:cs="黑体"/>
          <w:b w:val="0"/>
          <w:bCs/>
          <w:i w:val="0"/>
          <w:caps w:val="0"/>
          <w:color w:val="auto"/>
          <w:spacing w:val="0"/>
          <w:sz w:val="32"/>
          <w:szCs w:val="32"/>
          <w:highlight w:val="none"/>
          <w:shd w:val="clear" w:fill="FFFFFF"/>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2020年上犹县人社局坚持以习近平新时代中国特色社会主义思想为指导，深入贯彻党的十九大和十九届二中、三</w:t>
      </w:r>
      <w:r>
        <w:rPr>
          <w:rFonts w:hint="eastAsia" w:ascii="仿宋_GB2312" w:hAnsi="仿宋_GB2312" w:eastAsia="仿宋_GB2312" w:cs="仿宋_GB2312"/>
          <w:i w:val="0"/>
          <w:caps w:val="0"/>
          <w:color w:val="auto"/>
          <w:spacing w:val="0"/>
          <w:sz w:val="32"/>
          <w:szCs w:val="32"/>
          <w:shd w:val="clear" w:fill="FFFFFF"/>
          <w:lang w:val="en-US" w:eastAsia="zh-CN"/>
        </w:rPr>
        <w:t>中、四中、五中全会精神，严格落实《国务院办公厅印发〈关于全面推进政务公开工作的意见〉实施细则的通知》（国办发〔2016〕80号）和《国务院办公厅关于印发2020年政务公开工作要点的通知》（国办发〔2020〕17号）的要求。紧紧围绕省委、省政府中心工作及社会群众关注关切，着力提升政府信息公开质量，推进拓宽政府信息公开渠道，不断增强政府信息公开实效。我局政府信息公开工作呈现出稳步推进、逐步规范、健康发展.良好态势，2020年全局已公开信息589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（一）抓组织领导，健全信息公开领导机构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我局政府信息公开工作领导小组主要负责推进、指导、协调和监督政府信息工作公开情况。组长由局长担任，负责政府信息公开全面工作。副局长担任副组长，分别负责所分管部门的政务公开及政府信息公开工作。各股室负责人为成员。领导小组办公室设在局综合股，主任由综合股股长担任，办公室负责网站管理、信息更新、日常动态检查、依申请公开办理等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w:t>
      </w:r>
      <w:r>
        <w:rPr>
          <w:rFonts w:hint="eastAsia" w:ascii="楷体" w:hAnsi="楷体" w:eastAsia="楷体" w:cs="楷体"/>
          <w:i w:val="0"/>
          <w:caps w:val="0"/>
          <w:color w:val="auto"/>
          <w:spacing w:val="0"/>
          <w:sz w:val="32"/>
          <w:szCs w:val="32"/>
          <w:shd w:val="clear" w:fill="FFFFFF"/>
          <w:lang w:val="en-US" w:eastAsia="zh-CN"/>
        </w:rPr>
        <w:t>(二)抓制度基础，健全信息公开工作机制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我局根据实际情况，进一步规范信息公开工作，细化标准，完善了政府信息公开配套制度。下发了《关于做好全局2020年政府信息公开和政务公开工作的通知》，对信息公开内容、分工、考核考评方式进行了明确，进一步规范了政府信息公开制度，并认真抓好各项制度的落实，使政府信息公开工作做到了有章可循。同时结合推行政府信息公开，进一步修订完善了内部的管理制度和规定，着力在建立健全工作机制上下功夫，将政府信息公开工作，作为年终考核的重要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（三）抓制度落实，拓宽信息公开的范围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2020年，上犹县人社局及时将人社工作相关的文件、政策法规、招聘考试通知等内容更新到政务信息网，不断加大政府信息公开各方面宣传力度，引导公众正确行使知情权。政务公开工作开展中，充分利用互联网等多种媒体参与到来，加大与公众的信息沟通，并及时帮助其解决问题，运用宣传标语、宣传栏、LED显示屏等多种形式和方法，不断提高政府信息公开工作质量和效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i w:val="0"/>
          <w:caps w:val="0"/>
          <w:color w:val="auto"/>
          <w:spacing w:val="0"/>
          <w:sz w:val="32"/>
          <w:szCs w:val="32"/>
          <w:shd w:val="clear" w:fill="FFFFFF"/>
          <w:lang w:val="en-US" w:eastAsia="zh-CN"/>
        </w:rPr>
      </w:pPr>
      <w:r>
        <w:rPr>
          <w:rFonts w:hint="eastAsia" w:ascii="楷体" w:hAnsi="楷体" w:eastAsia="楷体" w:cs="楷体"/>
          <w:i w:val="0"/>
          <w:caps w:val="0"/>
          <w:color w:val="auto"/>
          <w:spacing w:val="0"/>
          <w:sz w:val="32"/>
          <w:szCs w:val="32"/>
          <w:shd w:val="clear" w:fill="FFFFFF"/>
          <w:lang w:val="en-US" w:eastAsia="zh-CN"/>
        </w:rPr>
        <w:t>（四）抓督查考评，促进信息公开工作落实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上半年，我们组织开展了机关政府信息公开自查自评工作，逐项对照检查政务公开工作的实际开展情况，逐条研究和落实整改措施，边查边改，进一步加强和完善了政府信息公开工作。下半年，以开展目标责任制考核活动为契机，加大检查力度，进一步落实政务公开工作措施，促进了我局政府信息公开工作的深入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主动公开政府信息情况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宋体" w:hAnsi="宋体" w:eastAsia="宋体" w:cs="宋体"/>
          <w:b w:val="0"/>
          <w:bCs/>
          <w:color w:val="auto"/>
          <w:sz w:val="32"/>
          <w:szCs w:val="32"/>
          <w:highlight w:val="none"/>
          <w:lang w:val="en-US" w:eastAsia="zh-CN"/>
        </w:rPr>
        <w:t>2020</w:t>
      </w:r>
      <w:r>
        <w:rPr>
          <w:rFonts w:hint="eastAsia" w:ascii="仿宋_GB2312" w:hAnsi="仿宋_GB2312" w:eastAsia="仿宋_GB2312" w:cs="仿宋_GB2312"/>
          <w:b w:val="0"/>
          <w:bCs/>
          <w:color w:val="auto"/>
          <w:sz w:val="32"/>
          <w:szCs w:val="32"/>
          <w:highlight w:val="none"/>
        </w:rPr>
        <w:t>年，我局共向社会公开各类人社工作信息</w:t>
      </w:r>
      <w:r>
        <w:rPr>
          <w:rFonts w:hint="eastAsia" w:ascii="宋体" w:hAnsi="宋体" w:eastAsia="宋体" w:cs="宋体"/>
          <w:b w:val="0"/>
          <w:bCs/>
          <w:color w:val="auto"/>
          <w:sz w:val="32"/>
          <w:szCs w:val="32"/>
          <w:highlight w:val="none"/>
          <w:lang w:val="en-US" w:eastAsia="zh-CN"/>
        </w:rPr>
        <w:t>589</w:t>
      </w:r>
      <w:r>
        <w:rPr>
          <w:rFonts w:hint="eastAsia" w:ascii="仿宋_GB2312" w:hAnsi="仿宋_GB2312" w:eastAsia="仿宋_GB2312" w:cs="仿宋_GB2312"/>
          <w:b w:val="0"/>
          <w:bCs/>
          <w:color w:val="auto"/>
          <w:sz w:val="32"/>
          <w:szCs w:val="32"/>
          <w:highlight w:val="none"/>
        </w:rPr>
        <w:t>条，内容涉及政策法规、经办流程、工作动态、公告告示、人事任免、考录招聘等其他需要公开的各类信息。通过信息公开，极大方便了广大人民群众和社会各界了解人社工作和职能，增强了工作透明度，有效地宣传了人社工作。</w:t>
      </w:r>
    </w:p>
    <w:tbl>
      <w:tblPr>
        <w:tblStyle w:val="3"/>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w:t>
            </w:r>
            <w:bookmarkStart w:id="0" w:name="_GoBack"/>
            <w:bookmarkEnd w:id="0"/>
            <w:r>
              <w:rPr>
                <w:rFonts w:hint="eastAsia" w:ascii="仿宋" w:hAnsi="仿宋" w:eastAsia="仿宋" w:cs="仿宋"/>
                <w:color w:val="auto"/>
                <w:sz w:val="24"/>
              </w:rPr>
              <w:t>容</w:t>
            </w:r>
          </w:p>
        </w:tc>
        <w:tc>
          <w:tcPr>
            <w:tcW w:w="2460"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本年新制作数量</w:t>
            </w:r>
          </w:p>
        </w:tc>
        <w:tc>
          <w:tcPr>
            <w:tcW w:w="2025"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本年新公开数量</w:t>
            </w:r>
          </w:p>
        </w:tc>
        <w:tc>
          <w:tcPr>
            <w:tcW w:w="2295"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规    章</w:t>
            </w:r>
          </w:p>
        </w:tc>
        <w:tc>
          <w:tcPr>
            <w:tcW w:w="2460" w:type="dxa"/>
            <w:shd w:val="clear" w:color="auto" w:fill="auto"/>
            <w:vAlign w:val="center"/>
          </w:tcPr>
          <w:p>
            <w:pPr>
              <w:spacing w:line="460" w:lineRule="exact"/>
              <w:jc w:val="center"/>
              <w:rPr>
                <w:rFonts w:hint="eastAsia" w:ascii="仿宋" w:hAnsi="仿宋" w:eastAsia="仿宋" w:cs="仿宋"/>
                <w:color w:val="auto"/>
                <w:sz w:val="18"/>
                <w:szCs w:val="18"/>
                <w:lang w:eastAsia="zh-CN"/>
              </w:rPr>
            </w:pPr>
            <w:r>
              <w:rPr>
                <w:rFonts w:hint="eastAsia" w:ascii="宋体" w:hAnsi="宋体" w:eastAsia="宋体" w:cs="宋体"/>
                <w:color w:val="auto"/>
                <w:sz w:val="24"/>
                <w:szCs w:val="24"/>
                <w:lang w:val="en-US" w:eastAsia="zh-CN"/>
              </w:rPr>
              <w:t>0</w:t>
            </w:r>
          </w:p>
        </w:tc>
        <w:tc>
          <w:tcPr>
            <w:tcW w:w="2025" w:type="dxa"/>
            <w:shd w:val="clear" w:color="auto" w:fill="auto"/>
            <w:vAlign w:val="center"/>
          </w:tcPr>
          <w:p>
            <w:pPr>
              <w:spacing w:line="460" w:lineRule="exact"/>
              <w:jc w:val="center"/>
              <w:rPr>
                <w:rFonts w:ascii="仿宋" w:hAnsi="仿宋" w:eastAsia="仿宋" w:cs="仿宋"/>
                <w:color w:val="auto"/>
                <w:sz w:val="18"/>
                <w:szCs w:val="18"/>
              </w:rPr>
            </w:pPr>
            <w:r>
              <w:rPr>
                <w:rFonts w:hint="eastAsia" w:ascii="宋体" w:hAnsi="宋体" w:eastAsia="宋体" w:cs="宋体"/>
                <w:color w:val="auto"/>
                <w:sz w:val="24"/>
                <w:szCs w:val="24"/>
                <w:lang w:val="en-US" w:eastAsia="zh-CN"/>
              </w:rPr>
              <w:t>0</w:t>
            </w:r>
          </w:p>
        </w:tc>
        <w:tc>
          <w:tcPr>
            <w:tcW w:w="2295" w:type="dxa"/>
            <w:shd w:val="clear" w:color="auto" w:fill="auto"/>
            <w:vAlign w:val="center"/>
          </w:tcPr>
          <w:p>
            <w:pPr>
              <w:spacing w:line="460" w:lineRule="exact"/>
              <w:jc w:val="center"/>
              <w:rPr>
                <w:rFonts w:ascii="仿宋" w:hAnsi="仿宋" w:eastAsia="仿宋" w:cs="仿宋"/>
                <w:color w:val="auto"/>
                <w:sz w:val="18"/>
                <w:szCs w:val="18"/>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rPr>
            </w:pPr>
            <w:r>
              <w:rPr>
                <w:rFonts w:hint="eastAsia" w:ascii="仿宋" w:hAnsi="仿宋" w:eastAsia="仿宋" w:cs="仿宋"/>
                <w:color w:val="auto"/>
                <w:sz w:val="24"/>
              </w:rPr>
              <w:t>规范性文件（本单位制发的）</w:t>
            </w:r>
          </w:p>
        </w:tc>
        <w:tc>
          <w:tcPr>
            <w:tcW w:w="2460"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hint="default" w:ascii="仿宋" w:hAnsi="仿宋" w:eastAsia="仿宋" w:cs="仿宋"/>
                <w:color w:val="auto"/>
                <w:szCs w:val="21"/>
                <w:lang w:val="en-US" w:eastAsia="zh-CN"/>
              </w:rPr>
            </w:pPr>
            <w:r>
              <w:rPr>
                <w:rFonts w:hint="eastAsia" w:ascii="宋体" w:hAnsi="宋体" w:eastAsia="宋体" w:cs="宋体"/>
                <w:color w:val="auto"/>
                <w:sz w:val="24"/>
                <w:szCs w:val="24"/>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行政许可</w:t>
            </w:r>
          </w:p>
        </w:tc>
        <w:tc>
          <w:tcPr>
            <w:tcW w:w="2460"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其他对外管理服务事项</w:t>
            </w:r>
          </w:p>
        </w:tc>
        <w:tc>
          <w:tcPr>
            <w:tcW w:w="2460" w:type="dxa"/>
            <w:shd w:val="clear" w:color="auto" w:fill="auto"/>
            <w:vAlign w:val="center"/>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行政事业性收费</w:t>
            </w:r>
          </w:p>
        </w:tc>
        <w:tc>
          <w:tcPr>
            <w:tcW w:w="2460" w:type="dxa"/>
            <w:shd w:val="clear" w:color="auto" w:fill="auto"/>
            <w:vAlign w:val="center"/>
          </w:tcPr>
          <w:p>
            <w:pPr>
              <w:spacing w:line="460" w:lineRule="exact"/>
              <w:jc w:val="center"/>
              <w:rPr>
                <w:rFonts w:ascii="仿宋" w:hAnsi="仿宋" w:eastAsia="仿宋" w:cs="仿宋"/>
                <w:color w:val="auto"/>
                <w:sz w:val="18"/>
                <w:szCs w:val="18"/>
              </w:rPr>
            </w:pPr>
            <w:r>
              <w:rPr>
                <w:rFonts w:hint="eastAsia" w:ascii="宋体" w:hAnsi="宋体" w:eastAsia="宋体" w:cs="宋体"/>
                <w:color w:val="auto"/>
                <w:sz w:val="24"/>
                <w:szCs w:val="24"/>
                <w:lang w:val="en-US" w:eastAsia="zh-CN"/>
              </w:rPr>
              <w:t>0</w:t>
            </w:r>
          </w:p>
        </w:tc>
        <w:tc>
          <w:tcPr>
            <w:tcW w:w="4320" w:type="dxa"/>
            <w:gridSpan w:val="2"/>
            <w:shd w:val="clear" w:color="auto" w:fill="auto"/>
            <w:vAlign w:val="center"/>
          </w:tcPr>
          <w:p>
            <w:pPr>
              <w:spacing w:line="460" w:lineRule="exact"/>
              <w:jc w:val="center"/>
              <w:rPr>
                <w:rFonts w:ascii="仿宋" w:hAnsi="仿宋" w:eastAsia="仿宋" w:cs="仿宋"/>
                <w:color w:val="auto"/>
                <w:sz w:val="18"/>
                <w:szCs w:val="18"/>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vAlign w:val="center"/>
          </w:tcPr>
          <w:p>
            <w:pPr>
              <w:spacing w:line="460" w:lineRule="exact"/>
              <w:jc w:val="center"/>
              <w:rPr>
                <w:rFonts w:ascii="仿宋" w:hAnsi="仿宋" w:eastAsia="仿宋" w:cs="仿宋"/>
                <w:color w:val="auto"/>
                <w:sz w:val="21"/>
                <w:szCs w:val="21"/>
              </w:rPr>
            </w:pPr>
            <w:r>
              <w:rPr>
                <w:rFonts w:hint="eastAsia" w:ascii="仿宋" w:hAnsi="仿宋" w:eastAsia="仿宋" w:cs="仿宋"/>
                <w:color w:val="auto"/>
                <w:sz w:val="21"/>
                <w:szCs w:val="21"/>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vAlign w:val="center"/>
          </w:tcPr>
          <w:p>
            <w:pPr>
              <w:spacing w:line="460" w:lineRule="exact"/>
              <w:jc w:val="center"/>
              <w:rPr>
                <w:rFonts w:ascii="仿宋" w:hAnsi="仿宋" w:eastAsia="仿宋" w:cs="仿宋"/>
                <w:color w:val="auto"/>
                <w:sz w:val="21"/>
                <w:szCs w:val="21"/>
              </w:rPr>
            </w:pPr>
            <w:r>
              <w:rPr>
                <w:rFonts w:hint="eastAsia" w:ascii="仿宋" w:hAnsi="仿宋" w:eastAsia="仿宋" w:cs="仿宋"/>
                <w:color w:val="auto"/>
                <w:sz w:val="21"/>
                <w:szCs w:val="21"/>
              </w:rPr>
              <w:t>采购项目数量</w:t>
            </w:r>
          </w:p>
        </w:tc>
        <w:tc>
          <w:tcPr>
            <w:tcW w:w="4320" w:type="dxa"/>
            <w:gridSpan w:val="2"/>
            <w:shd w:val="clear" w:color="auto" w:fill="auto"/>
            <w:vAlign w:val="center"/>
          </w:tcPr>
          <w:p>
            <w:pPr>
              <w:spacing w:line="460" w:lineRule="exact"/>
              <w:jc w:val="center"/>
              <w:rPr>
                <w:rFonts w:ascii="仿宋" w:hAnsi="仿宋" w:eastAsia="仿宋" w:cs="仿宋"/>
                <w:color w:val="auto"/>
                <w:sz w:val="21"/>
                <w:szCs w:val="21"/>
              </w:rPr>
            </w:pPr>
            <w:r>
              <w:rPr>
                <w:rFonts w:hint="eastAsia" w:ascii="仿宋" w:hAnsi="仿宋" w:eastAsia="仿宋" w:cs="仿宋"/>
                <w:color w:val="auto"/>
                <w:sz w:val="21"/>
                <w:szCs w:val="21"/>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政府集中采购</w:t>
            </w:r>
          </w:p>
        </w:tc>
        <w:tc>
          <w:tcPr>
            <w:tcW w:w="2460" w:type="dxa"/>
            <w:shd w:val="clear" w:color="auto" w:fill="auto"/>
            <w:vAlign w:val="center"/>
          </w:tcPr>
          <w:p>
            <w:pPr>
              <w:spacing w:line="460" w:lineRule="exact"/>
              <w:jc w:val="center"/>
              <w:rPr>
                <w:rFonts w:hint="eastAsia" w:ascii="仿宋" w:hAnsi="仿宋" w:eastAsia="仿宋" w:cs="仿宋"/>
                <w:color w:val="auto"/>
                <w:sz w:val="18"/>
                <w:szCs w:val="18"/>
                <w:lang w:eastAsia="zh-CN"/>
              </w:rPr>
            </w:pPr>
            <w:r>
              <w:rPr>
                <w:rFonts w:hint="eastAsia" w:ascii="宋体" w:hAnsi="宋体" w:eastAsia="宋体" w:cs="宋体"/>
                <w:color w:val="auto"/>
                <w:sz w:val="24"/>
                <w:szCs w:val="24"/>
                <w:lang w:val="en-US" w:eastAsia="zh-CN"/>
              </w:rPr>
              <w:t>0</w:t>
            </w:r>
          </w:p>
        </w:tc>
        <w:tc>
          <w:tcPr>
            <w:tcW w:w="4320" w:type="dxa"/>
            <w:gridSpan w:val="2"/>
            <w:shd w:val="clear" w:color="auto" w:fill="auto"/>
            <w:vAlign w:val="center"/>
          </w:tcPr>
          <w:p>
            <w:pPr>
              <w:spacing w:line="460" w:lineRule="exact"/>
              <w:jc w:val="center"/>
              <w:rPr>
                <w:rFonts w:ascii="仿宋" w:hAnsi="仿宋" w:eastAsia="仿宋" w:cs="仿宋"/>
                <w:color w:val="auto"/>
                <w:sz w:val="18"/>
                <w:szCs w:val="18"/>
              </w:rPr>
            </w:pPr>
            <w:r>
              <w:rPr>
                <w:rFonts w:hint="eastAsia" w:ascii="宋体" w:hAnsi="宋体" w:eastAsia="宋体" w:cs="宋体"/>
                <w:color w:val="auto"/>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收到和处理政府信息公开申请情况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i w:val="0"/>
          <w:caps w:val="0"/>
          <w:color w:val="auto"/>
          <w:spacing w:val="-4"/>
          <w:sz w:val="32"/>
          <w:szCs w:val="32"/>
          <w:shd w:val="clear" w:fill="FFFFFF"/>
        </w:rPr>
        <w:t>今年以来，我局受理信息公开申请</w:t>
      </w:r>
      <w:r>
        <w:rPr>
          <w:rFonts w:hint="eastAsia" w:ascii="宋体" w:hAnsi="宋体" w:eastAsia="宋体" w:cs="宋体"/>
          <w:i w:val="0"/>
          <w:caps w:val="0"/>
          <w:color w:val="auto"/>
          <w:spacing w:val="-4"/>
          <w:sz w:val="32"/>
          <w:szCs w:val="32"/>
          <w:shd w:val="clear" w:fill="FFFFFF"/>
        </w:rPr>
        <w:t>0</w:t>
      </w:r>
      <w:r>
        <w:rPr>
          <w:rFonts w:hint="eastAsia" w:ascii="仿宋_GB2312" w:hAnsi="仿宋_GB2312" w:eastAsia="仿宋_GB2312" w:cs="仿宋_GB2312"/>
          <w:i w:val="0"/>
          <w:caps w:val="0"/>
          <w:color w:val="auto"/>
          <w:spacing w:val="-4"/>
          <w:sz w:val="32"/>
          <w:szCs w:val="32"/>
          <w:shd w:val="clear" w:fill="FFFFFF"/>
        </w:rPr>
        <w:t>条，办理答复依申请公开信息</w:t>
      </w:r>
      <w:r>
        <w:rPr>
          <w:rFonts w:hint="eastAsia" w:ascii="宋体" w:hAnsi="宋体" w:eastAsia="宋体" w:cs="宋体"/>
          <w:i w:val="0"/>
          <w:caps w:val="0"/>
          <w:color w:val="auto"/>
          <w:spacing w:val="-4"/>
          <w:sz w:val="32"/>
          <w:szCs w:val="32"/>
          <w:shd w:val="clear" w:fill="FFFFFF"/>
        </w:rPr>
        <w:t>0</w:t>
      </w:r>
      <w:r>
        <w:rPr>
          <w:rFonts w:hint="eastAsia" w:ascii="仿宋_GB2312" w:hAnsi="仿宋_GB2312" w:eastAsia="仿宋_GB2312" w:cs="仿宋_GB2312"/>
          <w:i w:val="0"/>
          <w:caps w:val="0"/>
          <w:color w:val="auto"/>
          <w:spacing w:val="-4"/>
          <w:sz w:val="32"/>
          <w:szCs w:val="32"/>
          <w:shd w:val="clear" w:fill="FFFFFF"/>
        </w:rPr>
        <w:t>条。不存在不予公开政府信息情况。</w:t>
      </w:r>
    </w:p>
    <w:tbl>
      <w:tblPr>
        <w:tblStyle w:val="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053"/>
        <w:gridCol w:w="1134"/>
        <w:gridCol w:w="972"/>
        <w:gridCol w:w="1080"/>
        <w:gridCol w:w="1110"/>
        <w:gridCol w:w="8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本列数据的勾稽关系为：第一项加第二项之和，等于第三项加第四项之和</w:t>
            </w:r>
          </w:p>
        </w:tc>
        <w:tc>
          <w:tcPr>
            <w:tcW w:w="6865"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自然人</w:t>
            </w:r>
          </w:p>
        </w:tc>
        <w:tc>
          <w:tcPr>
            <w:tcW w:w="510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法人或其他组织</w:t>
            </w:r>
          </w:p>
        </w:tc>
        <w:tc>
          <w:tcPr>
            <w:tcW w:w="70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商业</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企业</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科研</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机构</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社会公益组织</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法律服务机构</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w:t>
            </w:r>
          </w:p>
        </w:tc>
        <w:tc>
          <w:tcPr>
            <w:tcW w:w="70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b/>
                <w:color w:val="auto"/>
                <w:sz w:val="24"/>
                <w:szCs w:val="24"/>
              </w:rPr>
              <w:t>一</w:t>
            </w:r>
            <w:r>
              <w:rPr>
                <w:rFonts w:hint="eastAsia" w:ascii="仿宋" w:hAnsi="仿宋" w:eastAsia="仿宋" w:cs="仿宋"/>
                <w:color w:val="auto"/>
                <w:sz w:val="24"/>
                <w:szCs w:val="24"/>
              </w:rPr>
              <w:t>、本年新收政府信息公开申请数量</w:t>
            </w:r>
          </w:p>
        </w:tc>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auto"/>
                <w:sz w:val="20"/>
                <w:szCs w:val="20"/>
                <w:lang w:val="en-US" w:eastAsia="zh-CN"/>
              </w:rPr>
            </w:pPr>
            <w:r>
              <w:rPr>
                <w:rFonts w:hint="eastAsia" w:ascii="宋体" w:hAnsi="宋体" w:eastAsia="宋体" w:cs="宋体"/>
                <w:color w:val="auto"/>
                <w:sz w:val="22"/>
                <w:szCs w:val="22"/>
                <w:lang w:val="en-US" w:eastAsia="zh-CN"/>
              </w:rPr>
              <w:t>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b/>
                <w:color w:val="auto"/>
                <w:sz w:val="24"/>
                <w:szCs w:val="24"/>
              </w:rPr>
              <w:t>二</w:t>
            </w:r>
            <w:r>
              <w:rPr>
                <w:rFonts w:hint="eastAsia" w:ascii="仿宋" w:hAnsi="仿宋" w:eastAsia="仿宋" w:cs="仿宋"/>
                <w:color w:val="auto"/>
                <w:sz w:val="24"/>
                <w:szCs w:val="24"/>
              </w:rPr>
              <w:t>、上年结转政府信息公开申请数量</w:t>
            </w:r>
          </w:p>
        </w:tc>
        <w:tc>
          <w:tcPr>
            <w:tcW w:w="10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b/>
                <w:color w:val="auto"/>
                <w:sz w:val="24"/>
                <w:szCs w:val="24"/>
              </w:rPr>
              <w:t>三</w:t>
            </w:r>
            <w:r>
              <w:rPr>
                <w:rFonts w:hint="eastAsia" w:ascii="仿宋" w:hAnsi="仿宋" w:eastAsia="仿宋" w:cs="仿宋"/>
                <w:color w:val="auto"/>
                <w:sz w:val="24"/>
                <w:szCs w:val="24"/>
              </w:rPr>
              <w:t>、本年度办理结果</w:t>
            </w:r>
          </w:p>
        </w:tc>
        <w:tc>
          <w:tcPr>
            <w:tcW w:w="218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仿宋" w:hAnsi="仿宋" w:eastAsia="仿宋" w:cs="仿宋"/>
                <w:color w:val="auto"/>
                <w:sz w:val="20"/>
                <w:szCs w:val="20"/>
              </w:rPr>
              <w:t>（一）予以公开</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218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仿宋" w:hAnsi="仿宋" w:eastAsia="仿宋" w:cs="仿宋"/>
                <w:color w:val="auto"/>
                <w:sz w:val="20"/>
                <w:szCs w:val="20"/>
              </w:rPr>
              <w:t>（二）部分公开（区分处理的，只记这一情形，不记其他情形）</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仿宋" w:hAnsi="仿宋" w:eastAsia="仿宋" w:cs="仿宋"/>
                <w:color w:val="auto"/>
                <w:sz w:val="20"/>
                <w:szCs w:val="20"/>
              </w:rPr>
              <w:t>（三）不予公开</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1</w:t>
            </w:r>
            <w:r>
              <w:rPr>
                <w:rFonts w:hint="eastAsia" w:ascii="仿宋" w:hAnsi="仿宋" w:eastAsia="仿宋" w:cs="仿宋"/>
                <w:color w:val="auto"/>
                <w:sz w:val="20"/>
                <w:szCs w:val="20"/>
              </w:rPr>
              <w:t>.属于国家秘密</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2</w:t>
            </w:r>
            <w:r>
              <w:rPr>
                <w:rFonts w:hint="eastAsia" w:ascii="仿宋" w:hAnsi="仿宋" w:eastAsia="仿宋" w:cs="仿宋"/>
                <w:color w:val="auto"/>
                <w:sz w:val="20"/>
                <w:szCs w:val="20"/>
              </w:rPr>
              <w:t>.其他法律行政法规禁止公开</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3</w:t>
            </w:r>
            <w:r>
              <w:rPr>
                <w:rFonts w:hint="eastAsia" w:ascii="仿宋" w:hAnsi="仿宋" w:eastAsia="仿宋" w:cs="仿宋"/>
                <w:color w:val="auto"/>
                <w:sz w:val="20"/>
                <w:szCs w:val="20"/>
              </w:rPr>
              <w:t>.危及“三安全一稳定”</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4</w:t>
            </w:r>
            <w:r>
              <w:rPr>
                <w:rFonts w:hint="eastAsia" w:ascii="仿宋" w:hAnsi="仿宋" w:eastAsia="仿宋" w:cs="仿宋"/>
                <w:color w:val="auto"/>
                <w:sz w:val="20"/>
                <w:szCs w:val="20"/>
              </w:rPr>
              <w:t>.保护第三方合法权益</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5</w:t>
            </w:r>
            <w:r>
              <w:rPr>
                <w:rFonts w:hint="eastAsia" w:ascii="仿宋" w:hAnsi="仿宋" w:eastAsia="仿宋" w:cs="仿宋"/>
                <w:color w:val="auto"/>
                <w:sz w:val="20"/>
                <w:szCs w:val="20"/>
              </w:rPr>
              <w:t>.属于三类内部事务信息</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6</w:t>
            </w:r>
            <w:r>
              <w:rPr>
                <w:rFonts w:hint="eastAsia" w:ascii="仿宋" w:hAnsi="仿宋" w:eastAsia="仿宋" w:cs="仿宋"/>
                <w:color w:val="auto"/>
                <w:sz w:val="20"/>
                <w:szCs w:val="20"/>
              </w:rPr>
              <w:t>.属于四类过程性信息</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7</w:t>
            </w:r>
            <w:r>
              <w:rPr>
                <w:rFonts w:hint="eastAsia" w:ascii="仿宋" w:hAnsi="仿宋" w:eastAsia="仿宋" w:cs="仿宋"/>
                <w:color w:val="auto"/>
                <w:sz w:val="20"/>
                <w:szCs w:val="20"/>
              </w:rPr>
              <w:t>.属于行政执法案卷</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8</w:t>
            </w:r>
            <w:r>
              <w:rPr>
                <w:rFonts w:hint="eastAsia" w:ascii="仿宋" w:hAnsi="仿宋" w:eastAsia="仿宋" w:cs="仿宋"/>
                <w:color w:val="auto"/>
                <w:sz w:val="20"/>
                <w:szCs w:val="20"/>
              </w:rPr>
              <w:t>.属于行政查询事项</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（四）无法提供</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rPr>
              <w:t>1</w:t>
            </w:r>
            <w:r>
              <w:rPr>
                <w:rFonts w:hint="eastAsia" w:ascii="仿宋" w:hAnsi="仿宋" w:eastAsia="仿宋" w:cs="仿宋"/>
                <w:color w:val="auto"/>
                <w:sz w:val="20"/>
                <w:szCs w:val="20"/>
              </w:rPr>
              <w:t>.本机关不掌握相关政府信息</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0"/>
                <w:szCs w:val="20"/>
              </w:rPr>
            </w:pPr>
            <w:r>
              <w:rPr>
                <w:rFonts w:hint="eastAsia" w:ascii="宋体" w:hAnsi="宋体" w:eastAsia="宋体" w:cs="宋体"/>
                <w:color w:val="auto"/>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rPr>
              <w:t>2</w:t>
            </w:r>
            <w:r>
              <w:rPr>
                <w:rFonts w:hint="eastAsia" w:ascii="仿宋" w:hAnsi="仿宋" w:eastAsia="仿宋" w:cs="仿宋"/>
                <w:color w:val="auto"/>
                <w:sz w:val="21"/>
                <w:szCs w:val="21"/>
              </w:rPr>
              <w:t>.没有现成信息需要另行制作</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rPr>
              <w:t>3</w:t>
            </w:r>
            <w:r>
              <w:rPr>
                <w:rFonts w:hint="eastAsia" w:ascii="仿宋" w:hAnsi="仿宋" w:eastAsia="仿宋" w:cs="仿宋"/>
                <w:color w:val="auto"/>
                <w:sz w:val="21"/>
                <w:szCs w:val="21"/>
              </w:rPr>
              <w:t>.补正后申请内容仍不明确</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05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（五）不予处理</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rPr>
              <w:t>1</w:t>
            </w:r>
            <w:r>
              <w:rPr>
                <w:rFonts w:hint="eastAsia" w:ascii="仿宋" w:hAnsi="仿宋" w:eastAsia="仿宋" w:cs="仿宋"/>
                <w:color w:val="auto"/>
                <w:sz w:val="21"/>
                <w:szCs w:val="21"/>
              </w:rPr>
              <w:t>.信访投诉举报类申请</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rPr>
              <w:t>2</w:t>
            </w:r>
            <w:r>
              <w:rPr>
                <w:rFonts w:hint="eastAsia" w:ascii="仿宋" w:hAnsi="仿宋" w:eastAsia="仿宋" w:cs="仿宋"/>
                <w:color w:val="auto"/>
                <w:sz w:val="21"/>
                <w:szCs w:val="21"/>
              </w:rPr>
              <w:t>.重复申请</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rPr>
              <w:t>3</w:t>
            </w:r>
            <w:r>
              <w:rPr>
                <w:rFonts w:hint="eastAsia" w:ascii="仿宋" w:hAnsi="仿宋" w:eastAsia="仿宋" w:cs="仿宋"/>
                <w:color w:val="auto"/>
                <w:sz w:val="21"/>
                <w:szCs w:val="21"/>
              </w:rPr>
              <w:t>.要求提供公开出版物</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rPr>
              <w:t>4</w:t>
            </w:r>
            <w:r>
              <w:rPr>
                <w:rFonts w:hint="eastAsia" w:ascii="仿宋" w:hAnsi="仿宋" w:eastAsia="仿宋" w:cs="仿宋"/>
                <w:color w:val="auto"/>
                <w:sz w:val="21"/>
                <w:szCs w:val="21"/>
              </w:rPr>
              <w:t>.无正当理由大量反复申请</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05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rPr>
              <w:t>5</w:t>
            </w:r>
            <w:r>
              <w:rPr>
                <w:rFonts w:hint="eastAsia" w:ascii="仿宋" w:hAnsi="仿宋" w:eastAsia="仿宋" w:cs="仿宋"/>
                <w:color w:val="auto"/>
                <w:sz w:val="21"/>
                <w:szCs w:val="21"/>
              </w:rPr>
              <w:t>.要求行政机关确认或重新出具已获取信息</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218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（六）其他处理</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p>
        </w:tc>
        <w:tc>
          <w:tcPr>
            <w:tcW w:w="218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（七）总计</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仿宋" w:hAnsi="仿宋" w:eastAsia="仿宋" w:cs="仿宋"/>
                <w:b/>
                <w:color w:val="auto"/>
                <w:sz w:val="21"/>
                <w:szCs w:val="21"/>
              </w:rPr>
              <w:t>四</w:t>
            </w:r>
            <w:r>
              <w:rPr>
                <w:rFonts w:hint="eastAsia" w:ascii="仿宋" w:hAnsi="仿宋" w:eastAsia="仿宋" w:cs="仿宋"/>
                <w:color w:val="auto"/>
                <w:sz w:val="21"/>
                <w:szCs w:val="21"/>
              </w:rPr>
              <w:t>、结转下年度继续办理</w:t>
            </w:r>
          </w:p>
        </w:tc>
        <w:tc>
          <w:tcPr>
            <w:tcW w:w="97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08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11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仿宋" w:hAnsi="仿宋" w:eastAsia="仿宋" w:cs="仿宋"/>
                <w:color w:val="auto"/>
                <w:sz w:val="21"/>
                <w:szCs w:val="21"/>
              </w:rPr>
            </w:pPr>
            <w:r>
              <w:rPr>
                <w:rFonts w:hint="eastAsia" w:ascii="宋体" w:hAnsi="宋体" w:eastAsia="宋体" w:cs="宋体"/>
                <w:color w:val="auto"/>
                <w:sz w:val="24"/>
                <w:szCs w:val="24"/>
                <w:lang w:val="en-US" w:eastAsia="zh-CN"/>
              </w:rPr>
              <w:t>0</w:t>
            </w:r>
          </w:p>
        </w:tc>
      </w:tr>
    </w:tbl>
    <w:p>
      <w:pPr>
        <w:spacing w:line="540" w:lineRule="exact"/>
        <w:ind w:left="640"/>
        <w:rPr>
          <w:rFonts w:ascii="仿宋" w:hAnsi="仿宋" w:eastAsia="仿宋" w:cs="仿宋"/>
          <w:color w:val="auto"/>
          <w:sz w:val="18"/>
          <w:szCs w:val="21"/>
        </w:rPr>
      </w:pPr>
    </w:p>
    <w:p>
      <w:pPr>
        <w:numPr>
          <w:ilvl w:val="0"/>
          <w:numId w:val="0"/>
        </w:numPr>
        <w:spacing w:line="540" w:lineRule="exact"/>
        <w:rPr>
          <w:rFonts w:hint="eastAsia" w:ascii="黑体" w:hAnsi="黑体" w:eastAsia="黑体" w:cs="黑体"/>
          <w:b w:val="0"/>
          <w:bCs/>
          <w:color w:val="auto"/>
          <w:sz w:val="24"/>
          <w:szCs w:val="24"/>
          <w:lang w:eastAsia="zh-CN"/>
        </w:rPr>
      </w:pPr>
    </w:p>
    <w:p>
      <w:pPr>
        <w:numPr>
          <w:ilvl w:val="0"/>
          <w:numId w:val="0"/>
        </w:numPr>
        <w:spacing w:line="540" w:lineRule="exact"/>
        <w:rPr>
          <w:rFonts w:hint="eastAsia" w:ascii="黑体" w:hAnsi="黑体" w:eastAsia="黑体" w:cs="黑体"/>
          <w:b w:val="0"/>
          <w:bCs/>
          <w:color w:val="auto"/>
          <w:sz w:val="24"/>
          <w:szCs w:val="24"/>
          <w:lang w:eastAsia="zh-CN"/>
        </w:rPr>
      </w:pPr>
    </w:p>
    <w:p>
      <w:pPr>
        <w:numPr>
          <w:ilvl w:val="0"/>
          <w:numId w:val="0"/>
        </w:numPr>
        <w:spacing w:line="540" w:lineRule="exact"/>
        <w:rPr>
          <w:rFonts w:hint="eastAsia" w:ascii="黑体" w:hAnsi="黑体" w:eastAsia="黑体" w:cs="黑体"/>
          <w:b w:val="0"/>
          <w:bCs/>
          <w:color w:val="auto"/>
          <w:sz w:val="24"/>
          <w:szCs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宋体" w:cs="黑体"/>
          <w:b w:val="0"/>
          <w:bCs/>
          <w:color w:val="auto"/>
          <w:sz w:val="32"/>
          <w:szCs w:val="32"/>
          <w:lang w:eastAsia="zh-CN"/>
        </w:rPr>
      </w:pPr>
      <w:r>
        <w:rPr>
          <w:rFonts w:hint="eastAsia" w:ascii="宋体" w:hAnsi="宋体" w:eastAsia="宋体" w:cs="宋体"/>
          <w:i w:val="0"/>
          <w:caps w:val="0"/>
          <w:color w:val="auto"/>
          <w:spacing w:val="0"/>
          <w:sz w:val="32"/>
          <w:szCs w:val="32"/>
        </w:rPr>
        <w:t>我局未出现因政府信息公开申请行政复议、提起行政诉讼现象</w:t>
      </w:r>
      <w:r>
        <w:rPr>
          <w:rFonts w:hint="eastAsia" w:ascii="宋体" w:hAnsi="宋体" w:eastAsia="宋体" w:cs="宋体"/>
          <w:i w:val="0"/>
          <w:caps w:val="0"/>
          <w:color w:val="auto"/>
          <w:spacing w:val="0"/>
          <w:sz w:val="32"/>
          <w:szCs w:val="32"/>
          <w:lang w:eastAsia="zh-CN"/>
        </w:rPr>
        <w:t>。</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行政复议</w:t>
            </w:r>
            <w:r>
              <w:rPr>
                <w:rFonts w:ascii="仿宋" w:hAnsi="仿宋" w:eastAsia="仿宋" w:cs="仿宋"/>
                <w:color w:val="auto"/>
                <w:sz w:val="21"/>
                <w:szCs w:val="21"/>
              </w:rPr>
              <w:br w:type="textWrapping"/>
            </w:r>
            <w:r>
              <w:rPr>
                <w:rFonts w:hint="eastAsia" w:ascii="仿宋" w:hAnsi="仿宋" w:eastAsia="仿宋" w:cs="仿宋"/>
                <w:b/>
                <w:color w:val="auto"/>
                <w:sz w:val="21"/>
                <w:szCs w:val="21"/>
              </w:rPr>
              <w:t>（因政府信息公开被行政复议）</w:t>
            </w:r>
          </w:p>
        </w:tc>
        <w:tc>
          <w:tcPr>
            <w:tcW w:w="5680"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行政诉讼</w:t>
            </w:r>
            <w:r>
              <w:rPr>
                <w:rFonts w:ascii="仿宋" w:hAnsi="仿宋" w:eastAsia="仿宋" w:cs="仿宋"/>
                <w:color w:val="auto"/>
                <w:sz w:val="21"/>
                <w:szCs w:val="21"/>
              </w:rPr>
              <w:br w:type="textWrapping"/>
            </w:r>
            <w:r>
              <w:rPr>
                <w:rFonts w:hint="eastAsia" w:ascii="仿宋" w:hAnsi="仿宋" w:eastAsia="仿宋" w:cs="仿宋"/>
                <w:b/>
                <w:color w:val="auto"/>
                <w:sz w:val="21"/>
                <w:szCs w:val="21"/>
              </w:rPr>
              <w:t>（因政府信息公开被行政诉讼）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结果维护</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结果纠正</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其他结果</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尚未审结</w:t>
            </w:r>
          </w:p>
        </w:tc>
        <w:tc>
          <w:tcPr>
            <w:tcW w:w="56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总计</w:t>
            </w:r>
          </w:p>
        </w:tc>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shd w:val="clear" w:color="auto" w:fill="FFFFFF"/>
              </w:rPr>
              <w:t>未经复议直接起诉</w:t>
            </w:r>
          </w:p>
        </w:tc>
        <w:tc>
          <w:tcPr>
            <w:tcW w:w="28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p>
        </w:tc>
        <w:tc>
          <w:tcPr>
            <w:tcW w:w="56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结果维护</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结果纠正</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其他结果</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尚未审结</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总计</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结果维护</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结果纠正</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其他结果</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尚未审结</w:t>
            </w:r>
          </w:p>
        </w:tc>
        <w:tc>
          <w:tcPr>
            <w:tcW w:w="5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1"/>
                <w:szCs w:val="21"/>
              </w:rPr>
            </w:pPr>
            <w:r>
              <w:rPr>
                <w:rFonts w:hint="eastAsia" w:ascii="仿宋" w:hAnsi="仿宋" w:eastAsia="仿宋" w:cs="仿宋"/>
                <w:color w:val="auto"/>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c>
          <w:tcPr>
            <w:tcW w:w="568"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auto"/>
          <w:spacing w:val="0"/>
          <w:sz w:val="32"/>
          <w:szCs w:val="32"/>
          <w:shd w:val="clear" w:fill="FFFFFF"/>
        </w:rPr>
      </w:pPr>
      <w:r>
        <w:rPr>
          <w:rFonts w:hint="eastAsia" w:ascii="宋体" w:hAnsi="宋体" w:eastAsia="宋体" w:cs="宋体"/>
          <w:i w:val="0"/>
          <w:caps w:val="0"/>
          <w:color w:val="auto"/>
          <w:spacing w:val="0"/>
          <w:sz w:val="32"/>
          <w:szCs w:val="32"/>
          <w:shd w:val="clear" w:fill="FFFFFF"/>
        </w:rPr>
        <w:t>一是信息公开内容需要进一步完善。二是政府信息</w:t>
      </w:r>
      <w:r>
        <w:rPr>
          <w:rFonts w:hint="eastAsia" w:ascii="宋体" w:hAnsi="宋体" w:eastAsia="宋体" w:cs="宋体"/>
          <w:i w:val="0"/>
          <w:caps w:val="0"/>
          <w:color w:val="auto"/>
          <w:spacing w:val="0"/>
          <w:sz w:val="32"/>
          <w:szCs w:val="32"/>
          <w:shd w:val="clear" w:fill="FFFFFF"/>
          <w:lang w:val="en-US" w:eastAsia="zh-CN"/>
        </w:rPr>
        <w:t>公开</w:t>
      </w:r>
      <w:r>
        <w:rPr>
          <w:rFonts w:hint="eastAsia" w:ascii="宋体" w:hAnsi="宋体" w:eastAsia="宋体" w:cs="宋体"/>
          <w:i w:val="0"/>
          <w:caps w:val="0"/>
          <w:color w:val="auto"/>
          <w:spacing w:val="0"/>
          <w:sz w:val="32"/>
          <w:szCs w:val="32"/>
          <w:shd w:val="clear" w:fill="FFFFFF"/>
        </w:rPr>
        <w:t>人员的工作水平需进一步提高。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auto"/>
          <w:spacing w:val="0"/>
          <w:sz w:val="32"/>
          <w:szCs w:val="32"/>
          <w:shd w:val="clear" w:fill="FFFFFF"/>
        </w:rPr>
      </w:pPr>
      <w:r>
        <w:rPr>
          <w:rFonts w:hint="eastAsia" w:ascii="宋体" w:hAnsi="宋体" w:eastAsia="宋体" w:cs="宋体"/>
          <w:i w:val="0"/>
          <w:caps w:val="0"/>
          <w:color w:val="auto"/>
          <w:spacing w:val="0"/>
          <w:sz w:val="32"/>
          <w:szCs w:val="32"/>
          <w:shd w:val="clear" w:fill="FFFFFF"/>
          <w:lang w:val="en-US" w:eastAsia="zh-CN"/>
        </w:rPr>
        <w:t>针对</w:t>
      </w:r>
      <w:r>
        <w:rPr>
          <w:rFonts w:hint="eastAsia" w:ascii="宋体" w:hAnsi="宋体" w:eastAsia="宋体" w:cs="宋体"/>
          <w:i w:val="0"/>
          <w:caps w:val="0"/>
          <w:color w:val="auto"/>
          <w:spacing w:val="0"/>
          <w:sz w:val="32"/>
          <w:szCs w:val="32"/>
          <w:shd w:val="clear" w:fill="FFFFFF"/>
        </w:rPr>
        <w:t>这些问题，我们将在以后的工作中努力改正</w:t>
      </w:r>
      <w:r>
        <w:rPr>
          <w:rFonts w:hint="eastAsia" w:ascii="宋体" w:hAnsi="宋体" w:eastAsia="宋体" w:cs="宋体"/>
          <w:i w:val="0"/>
          <w:caps w:val="0"/>
          <w:color w:val="auto"/>
          <w:spacing w:val="0"/>
          <w:sz w:val="32"/>
          <w:szCs w:val="32"/>
          <w:shd w:val="clear" w:fill="FFFFFF"/>
          <w:lang w:eastAsia="zh-CN"/>
        </w:rPr>
        <w:t>，</w:t>
      </w:r>
      <w:r>
        <w:rPr>
          <w:rFonts w:hint="eastAsia" w:ascii="宋体" w:hAnsi="宋体" w:eastAsia="宋体" w:cs="宋体"/>
          <w:i w:val="0"/>
          <w:caps w:val="0"/>
          <w:color w:val="auto"/>
          <w:spacing w:val="0"/>
          <w:sz w:val="32"/>
          <w:szCs w:val="32"/>
          <w:shd w:val="clear" w:fill="FFFFFF"/>
        </w:rPr>
        <w:t>一是要进一步完善信息公开目录，细化信息公开分类。二是要加强培训，提高政务信息公开工作人员素质，促进信息公开工作顺利开展。三是严格落实首问负责制等有关制度，将首问负责制等制度的落实情况列为年终考核考评的依据。四是从</w:t>
      </w:r>
      <w:r>
        <w:rPr>
          <w:rFonts w:hint="eastAsia" w:ascii="宋体" w:hAnsi="宋体" w:eastAsia="宋体" w:cs="宋体"/>
          <w:i w:val="0"/>
          <w:caps w:val="0"/>
          <w:color w:val="auto"/>
          <w:spacing w:val="0"/>
          <w:sz w:val="32"/>
          <w:szCs w:val="32"/>
          <w:shd w:val="clear" w:fill="FFFFFF"/>
          <w:lang w:val="en-US" w:eastAsia="zh-CN"/>
        </w:rPr>
        <w:t>人社系统</w:t>
      </w:r>
      <w:r>
        <w:rPr>
          <w:rFonts w:hint="eastAsia" w:ascii="宋体" w:hAnsi="宋体" w:eastAsia="宋体" w:cs="宋体"/>
          <w:i w:val="0"/>
          <w:caps w:val="0"/>
          <w:color w:val="auto"/>
          <w:spacing w:val="0"/>
          <w:sz w:val="32"/>
          <w:szCs w:val="32"/>
          <w:shd w:val="clear" w:fill="FFFFFF"/>
        </w:rPr>
        <w:t>工作的实际出发，创新政务公开的形式，使社会公众对我县的</w:t>
      </w:r>
      <w:r>
        <w:rPr>
          <w:rFonts w:hint="eastAsia" w:ascii="宋体" w:hAnsi="宋体" w:eastAsia="宋体" w:cs="宋体"/>
          <w:i w:val="0"/>
          <w:caps w:val="0"/>
          <w:color w:val="auto"/>
          <w:spacing w:val="0"/>
          <w:sz w:val="32"/>
          <w:szCs w:val="32"/>
          <w:shd w:val="clear" w:fill="FFFFFF"/>
          <w:lang w:val="en-US" w:eastAsia="zh-CN"/>
        </w:rPr>
        <w:t>人社</w:t>
      </w:r>
      <w:r>
        <w:rPr>
          <w:rFonts w:hint="eastAsia" w:ascii="宋体" w:hAnsi="宋体" w:eastAsia="宋体" w:cs="宋体"/>
          <w:i w:val="0"/>
          <w:caps w:val="0"/>
          <w:color w:val="auto"/>
          <w:spacing w:val="0"/>
          <w:sz w:val="32"/>
          <w:szCs w:val="32"/>
          <w:shd w:val="clear" w:fill="FFFFFF"/>
        </w:rPr>
        <w:t>工作有更深一步的了解。</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rPr>
          <w:rFonts w:hint="eastAsia"/>
          <w:color w:val="auto"/>
          <w:sz w:val="32"/>
          <w:szCs w:val="32"/>
          <w:lang w:eastAsia="zh-CN"/>
        </w:rPr>
      </w:pPr>
      <w:r>
        <w:rPr>
          <w:rFonts w:hint="eastAsia" w:ascii="宋体" w:hAnsi="宋体" w:eastAsia="宋体" w:cs="宋体"/>
          <w:i w:val="0"/>
          <w:caps w:val="0"/>
          <w:color w:val="auto"/>
          <w:spacing w:val="0"/>
          <w:sz w:val="32"/>
          <w:szCs w:val="32"/>
          <w:shd w:val="clear" w:fill="FFFFFF"/>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37183"/>
    <w:multiLevelType w:val="singleLevel"/>
    <w:tmpl w:val="E2E37183"/>
    <w:lvl w:ilvl="0" w:tentative="0">
      <w:start w:val="4"/>
      <w:numFmt w:val="chineseCounting"/>
      <w:suff w:val="nothing"/>
      <w:lvlText w:val="%1、"/>
      <w:lvlJc w:val="left"/>
      <w:rPr>
        <w:rFonts w:hint="eastAsia"/>
      </w:rPr>
    </w:lvl>
  </w:abstractNum>
  <w:abstractNum w:abstractNumId="1">
    <w:nsid w:val="E49DB681"/>
    <w:multiLevelType w:val="singleLevel"/>
    <w:tmpl w:val="E49DB681"/>
    <w:lvl w:ilvl="0" w:tentative="0">
      <w:start w:val="1"/>
      <w:numFmt w:val="chineseCounting"/>
      <w:suff w:val="nothing"/>
      <w:lvlText w:val="%1、"/>
      <w:lvlJc w:val="left"/>
      <w:rPr>
        <w:rFonts w:hint="eastAsia"/>
      </w:rPr>
    </w:lvl>
  </w:abstractNum>
  <w:abstractNum w:abstractNumId="2">
    <w:nsid w:val="0E5C3210"/>
    <w:multiLevelType w:val="singleLevel"/>
    <w:tmpl w:val="0E5C3210"/>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BA5"/>
    <w:rsid w:val="0ACD0386"/>
    <w:rsid w:val="0D7624EB"/>
    <w:rsid w:val="0F42566A"/>
    <w:rsid w:val="0FE32618"/>
    <w:rsid w:val="14B21C2E"/>
    <w:rsid w:val="17534F7D"/>
    <w:rsid w:val="1B931963"/>
    <w:rsid w:val="23B06487"/>
    <w:rsid w:val="2480713E"/>
    <w:rsid w:val="29EC221C"/>
    <w:rsid w:val="31A36C14"/>
    <w:rsid w:val="3CEF03D9"/>
    <w:rsid w:val="51793506"/>
    <w:rsid w:val="519D4381"/>
    <w:rsid w:val="566E50F8"/>
    <w:rsid w:val="56857A37"/>
    <w:rsid w:val="5FCE6A83"/>
    <w:rsid w:val="640631DB"/>
    <w:rsid w:val="6EB526D3"/>
    <w:rsid w:val="6EC41F3F"/>
    <w:rsid w:val="788B0A3C"/>
    <w:rsid w:val="7B440FF1"/>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白菜</cp:lastModifiedBy>
  <dcterms:modified xsi:type="dcterms:W3CDTF">2021-01-28T09:15:07Z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246498606_btnclosed</vt:lpwstr>
  </property>
</Properties>
</file>