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color w:val="333333"/>
          <w:sz w:val="44"/>
          <w:szCs w:val="44"/>
          <w:highlight w:val="none"/>
        </w:rPr>
      </w:pPr>
      <w:r>
        <w:rPr>
          <w:rFonts w:hint="eastAsia" w:ascii="方正小标宋简体" w:hAnsi="方正小标宋简体" w:eastAsia="方正小标宋简体" w:cs="方正小标宋简体"/>
          <w:b/>
          <w:color w:val="333333"/>
          <w:sz w:val="44"/>
          <w:szCs w:val="44"/>
          <w:highlight w:val="none"/>
          <w:shd w:val="clear" w:color="auto" w:fill="FFFFFF"/>
        </w:rPr>
        <w:t>上犹县公安局2020年政府信息公开工作年度报告</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50" w:lineRule="exact"/>
        <w:ind w:left="0" w:leftChars="0" w:firstLine="640" w:firstLineChars="200"/>
        <w:jc w:val="both"/>
        <w:textAlignment w:val="auto"/>
        <w:rPr>
          <w:rFonts w:ascii="宋体" w:hAnsi="宋体" w:eastAsia="宋体" w:cs="宋体"/>
          <w:color w:val="333333"/>
          <w:sz w:val="32"/>
          <w:szCs w:val="32"/>
          <w:highlight w:val="none"/>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50" w:lineRule="exact"/>
        <w:ind w:left="0" w:leftChars="0" w:firstLine="640" w:firstLineChars="200"/>
        <w:jc w:val="both"/>
        <w:textAlignment w:val="auto"/>
        <w:rPr>
          <w:rFonts w:hint="eastAsia"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rPr>
        <w:t>本报告依据《中华人民共和国政府信息公开条例》（国务院令第711号，以下简称新《条例》）、《上犹县政府信息公开规定》（以下简称《规定》）和《国务院办公厅政府信息与政务公开办公室关于政府信息公开工作年度报告有关事项的通知》（国办公开办函〔2019〕60号）要求，由上犹县公安局指挥中心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上犹县人民政府网站（http://www.shangyou.gov.cn/syxxxgk/ndbgsss/list.shtml</w:t>
      </w:r>
      <w:bookmarkStart w:id="0" w:name="_GoBack"/>
      <w:bookmarkEnd w:id="0"/>
      <w:r>
        <w:rPr>
          <w:rFonts w:hint="eastAsia" w:ascii="仿宋_GB2312" w:hAnsi="仿宋_GB2312" w:eastAsia="仿宋_GB2312" w:cs="仿宋_GB2312"/>
          <w:color w:val="333333"/>
          <w:sz w:val="32"/>
          <w:szCs w:val="32"/>
          <w:highlight w:val="none"/>
        </w:rPr>
        <w:t>）下载。如对本报告有任何疑问，请与上犹县公安局指挥中心联系（地址：犹江大道30号，电话：8542238，邮编：431200）。</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50" w:lineRule="exact"/>
        <w:ind w:left="0" w:leftChars="0" w:firstLine="640" w:firstLineChars="200"/>
        <w:jc w:val="both"/>
        <w:textAlignment w:val="auto"/>
        <w:rPr>
          <w:rFonts w:ascii="宋体" w:hAnsi="宋体" w:eastAsia="宋体" w:cs="宋体"/>
          <w:color w:val="333333"/>
          <w:sz w:val="32"/>
          <w:szCs w:val="32"/>
          <w:highlight w:val="none"/>
        </w:rPr>
      </w:pP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50" w:lineRule="exact"/>
        <w:ind w:left="0" w:leftChars="0" w:firstLine="640" w:firstLineChars="200"/>
        <w:jc w:val="both"/>
        <w:textAlignment w:val="auto"/>
        <w:rPr>
          <w:rFonts w:ascii="黑体" w:hAnsi="黑体" w:eastAsia="黑体" w:cs="黑体"/>
          <w:bCs/>
          <w:color w:val="333333"/>
          <w:sz w:val="32"/>
          <w:szCs w:val="32"/>
          <w:highlight w:val="none"/>
          <w:shd w:val="clear" w:color="auto" w:fill="FFFFFF"/>
        </w:rPr>
      </w:pPr>
      <w:r>
        <w:rPr>
          <w:rFonts w:hint="eastAsia" w:ascii="黑体" w:hAnsi="黑体" w:eastAsia="黑体" w:cs="黑体"/>
          <w:bCs/>
          <w:color w:val="333333"/>
          <w:sz w:val="32"/>
          <w:szCs w:val="32"/>
          <w:highlight w:val="none"/>
          <w:shd w:val="clear" w:color="auto" w:fill="FFFFFF"/>
        </w:rPr>
        <w:t>总体情况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50" w:lineRule="exact"/>
        <w:ind w:left="0" w:leftChars="0" w:firstLine="640" w:firstLineChars="200"/>
        <w:jc w:val="both"/>
        <w:textAlignment w:val="auto"/>
        <w:rPr>
          <w:rFonts w:hint="eastAsia" w:ascii="仿宋_GB2312" w:hAnsi="仿宋_GB2312" w:eastAsia="仿宋_GB2312" w:cs="仿宋_GB2312"/>
          <w:b/>
          <w:color w:val="333333"/>
          <w:sz w:val="32"/>
          <w:szCs w:val="32"/>
          <w:highlight w:val="none"/>
          <w:shd w:val="clear" w:color="auto" w:fill="FFFFFF"/>
        </w:rPr>
      </w:pPr>
      <w:r>
        <w:rPr>
          <w:rFonts w:hint="eastAsia" w:ascii="仿宋_GB2312" w:hAnsi="仿宋_GB2312" w:eastAsia="仿宋_GB2312" w:cs="仿宋_GB2312"/>
          <w:color w:val="333333"/>
          <w:sz w:val="32"/>
          <w:szCs w:val="32"/>
          <w:highlight w:val="none"/>
          <w:shd w:val="clear" w:color="auto" w:fill="FFFFFF"/>
        </w:rPr>
        <w:t>2020年，我局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积极对</w:t>
      </w:r>
      <w:r>
        <w:rPr>
          <w:rFonts w:hint="eastAsia" w:ascii="仿宋_GB2312" w:hAnsi="仿宋_GB2312" w:eastAsia="仿宋_GB2312" w:cs="仿宋_GB2312"/>
          <w:color w:val="000000"/>
          <w:sz w:val="32"/>
          <w:szCs w:val="32"/>
          <w:highlight w:val="none"/>
        </w:rPr>
        <w:t>《条例》和《规定》</w:t>
      </w:r>
      <w:r>
        <w:rPr>
          <w:rFonts w:hint="eastAsia" w:ascii="仿宋_GB2312" w:hAnsi="仿宋_GB2312" w:eastAsia="仿宋_GB2312" w:cs="仿宋_GB2312"/>
          <w:color w:val="333333"/>
          <w:sz w:val="32"/>
          <w:szCs w:val="32"/>
          <w:highlight w:val="none"/>
          <w:shd w:val="clear" w:color="auto" w:fill="FFFFFF"/>
        </w:rPr>
        <w:t>明确目标任务，紧紧围绕省委、省政府中心工作及社会群众关注关切，着力提升政府信息公开质量，推进拓宽政府信息公开渠道，不断增强政府信息公开实效。</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50" w:lineRule="exact"/>
        <w:ind w:left="0" w:leftChars="0" w:firstLine="643" w:firstLineChars="200"/>
        <w:jc w:val="both"/>
        <w:textAlignment w:val="auto"/>
        <w:rPr>
          <w:rFonts w:ascii="宋体" w:hAnsi="宋体" w:eastAsia="宋体" w:cs="宋体"/>
          <w:b/>
          <w:color w:val="333333"/>
          <w:sz w:val="32"/>
          <w:szCs w:val="32"/>
          <w:highlight w:val="none"/>
          <w:shd w:val="clear" w:color="auto" w:fill="FFFFFF"/>
        </w:rPr>
      </w:pPr>
    </w:p>
    <w:p>
      <w:pPr>
        <w:pStyle w:val="4"/>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550" w:lineRule="exact"/>
        <w:ind w:left="0" w:leftChars="0" w:firstLine="643" w:firstLineChars="200"/>
        <w:jc w:val="both"/>
        <w:textAlignment w:val="auto"/>
        <w:rPr>
          <w:rFonts w:hint="eastAsia" w:ascii="楷体_GB2312" w:hAnsi="楷体_GB2312" w:eastAsia="楷体_GB2312" w:cs="楷体_GB2312"/>
          <w:b/>
          <w:bCs/>
          <w:color w:val="333333"/>
          <w:sz w:val="32"/>
          <w:szCs w:val="32"/>
          <w:highlight w:val="none"/>
          <w:shd w:val="clear" w:color="auto" w:fill="FFFFFF"/>
        </w:rPr>
      </w:pPr>
      <w:r>
        <w:rPr>
          <w:rFonts w:hint="eastAsia" w:ascii="楷体_GB2312" w:hAnsi="楷体_GB2312" w:eastAsia="楷体_GB2312" w:cs="楷体_GB2312"/>
          <w:b/>
          <w:bCs/>
          <w:color w:val="333333"/>
          <w:sz w:val="32"/>
          <w:szCs w:val="32"/>
          <w:highlight w:val="none"/>
          <w:shd w:val="clear" w:color="auto" w:fill="FFFFFF"/>
        </w:rPr>
        <w:t>主动公开</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50" w:lineRule="exact"/>
        <w:ind w:left="0" w:leftChars="0" w:firstLine="640" w:firstLineChars="200"/>
        <w:jc w:val="both"/>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2020年我局在上犹县政府信息公开平台进行了主动公开信息1106条。主动公开政府信息的主要类别包括：概况信息、法规文件（规范性文件）、工作动态（政务动态、公告公示）、人事信息（人事任免）、财经信息（财政预决算）、行政执法（执法依据、执法动态）、年度报告等。</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50" w:lineRule="exact"/>
        <w:ind w:left="0" w:leftChars="0" w:firstLine="640" w:firstLineChars="200"/>
        <w:jc w:val="both"/>
        <w:textAlignment w:val="auto"/>
        <w:rPr>
          <w:rFonts w:ascii="宋体" w:hAnsi="宋体" w:eastAsia="宋体" w:cs="宋体"/>
          <w:color w:val="333333"/>
          <w:sz w:val="32"/>
          <w:szCs w:val="32"/>
          <w:shd w:val="clear" w:color="auto" w:fill="FFFFFF"/>
        </w:rPr>
      </w:pPr>
    </w:p>
    <w:p>
      <w:pPr>
        <w:pStyle w:val="4"/>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550" w:lineRule="exact"/>
        <w:ind w:left="0" w:leftChars="0" w:firstLine="643" w:firstLineChars="200"/>
        <w:jc w:val="both"/>
        <w:textAlignment w:val="auto"/>
        <w:rPr>
          <w:rFonts w:ascii="楷体" w:hAnsi="楷体" w:eastAsia="楷体" w:cs="楷体"/>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政府信息管理</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规范化标准化建设</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50" w:lineRule="exact"/>
        <w:ind w:left="0" w:leftChars="0" w:firstLine="640" w:firstLineChars="200"/>
        <w:jc w:val="both"/>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全面梳理我局需公开事项，进一步健全信息发布、积极发送政策文件信息，以及制定的管理办法，加强互动交流平台，主动收集群众对政策落实过程中反映的问题，并公开处理情况。</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数字化管理（加大数据公开力度）</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50" w:lineRule="exact"/>
        <w:ind w:left="0" w:leftChars="0" w:firstLine="640" w:firstLineChars="200"/>
        <w:jc w:val="both"/>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000000"/>
          <w:sz w:val="32"/>
          <w:szCs w:val="32"/>
          <w:highlight w:val="none"/>
          <w:lang w:eastAsia="zh-CN"/>
        </w:rPr>
        <w:t>加大数据发布力度，主动公开部门预算，包括人事管理、工作流程等方面，规范信息审核发布机制。</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规范性文件清理</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000000"/>
          <w:sz w:val="32"/>
          <w:szCs w:val="32"/>
          <w:highlight w:val="none"/>
          <w:lang w:eastAsia="zh-CN"/>
        </w:rPr>
        <w:t>在规范性文件定期清理过程中，坚持“开门清理”的原则，充分运用报刊、网络等载体征求和听取企业意见。</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50" w:lineRule="exact"/>
        <w:ind w:left="0" w:leftChars="0" w:firstLine="640" w:firstLineChars="200"/>
        <w:jc w:val="both"/>
        <w:textAlignment w:val="auto"/>
        <w:rPr>
          <w:rFonts w:ascii="宋体" w:hAnsi="宋体" w:eastAsia="宋体" w:cs="宋体"/>
          <w:color w:val="333333"/>
          <w:sz w:val="32"/>
          <w:szCs w:val="32"/>
          <w:shd w:val="clear" w:color="auto" w:fill="FFFFFF"/>
        </w:rPr>
      </w:pPr>
    </w:p>
    <w:p>
      <w:pPr>
        <w:pStyle w:val="4"/>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550" w:lineRule="exact"/>
        <w:ind w:left="0" w:leftChars="0" w:firstLine="643" w:firstLineChars="200"/>
        <w:jc w:val="both"/>
        <w:textAlignment w:val="auto"/>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平台建设</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政府门户网站第一平台作用</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近年来，上犹县公安局在新媒体建设工作上，紧紧围绕中心、服务大局，积极构建宣传阵地，弘扬了主旋律，传播了正能量，树立了新形象。</w:t>
      </w:r>
      <w:r>
        <w:rPr>
          <w:rFonts w:hint="eastAsia" w:ascii="仿宋_GB2312" w:hAnsi="仿宋_GB2312" w:eastAsia="仿宋_GB2312" w:cs="仿宋_GB2312"/>
          <w:color w:val="000000"/>
          <w:sz w:val="32"/>
          <w:szCs w:val="32"/>
          <w:highlight w:val="none"/>
          <w:lang w:val="en-US" w:eastAsia="zh-CN"/>
        </w:rPr>
        <w:t>在发布信息、解读政策、引导舆论等方面作用愈加突出。</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auto"/>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公开方式多样化</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both"/>
        <w:textAlignment w:val="auto"/>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主要通过政府门户网、报刊、电视、微信等媒体形式公开信息。</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auto"/>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网站集约化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rightChars="0" w:firstLine="640" w:firstLineChars="200"/>
        <w:jc w:val="both"/>
        <w:textAlignment w:val="auto"/>
        <w:rPr>
          <w:rFonts w:hint="default" w:ascii="宋体" w:hAnsi="宋体" w:eastAsia="宋体" w:cs="宋体"/>
          <w:i w:val="0"/>
          <w:caps w:val="0"/>
          <w:color w:val="333333"/>
          <w:spacing w:val="0"/>
          <w:sz w:val="32"/>
          <w:szCs w:val="32"/>
          <w:shd w:val="clear" w:fill="FFFFFF"/>
          <w:lang w:val="en-US" w:eastAsia="zh-CN"/>
        </w:rPr>
      </w:pPr>
      <w:r>
        <w:rPr>
          <w:rFonts w:hint="eastAsia" w:ascii="仿宋_GB2312" w:hAnsi="仿宋_GB2312" w:eastAsia="仿宋_GB2312" w:cs="仿宋_GB2312"/>
          <w:color w:val="000000"/>
          <w:sz w:val="32"/>
          <w:szCs w:val="32"/>
          <w:highlight w:val="none"/>
          <w:lang w:val="en-US" w:eastAsia="zh-CN"/>
        </w:rPr>
        <w:t>上犹公安微信公众号关联江西公安为民服务网上办事系统，切实让群众享受到网上办、马上办、自助办的方便快捷。</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auto"/>
        <w:rPr>
          <w:rFonts w:hint="eastAsia" w:ascii="宋体" w:hAnsi="宋体" w:eastAsia="宋体" w:cs="宋体"/>
          <w:i w:val="0"/>
          <w:caps w:val="0"/>
          <w:color w:val="333333"/>
          <w:spacing w:val="0"/>
          <w:sz w:val="32"/>
          <w:szCs w:val="32"/>
          <w:highlight w:val="none"/>
          <w:shd w:val="clear" w:fill="FFFFFF"/>
          <w:lang w:val="en-US" w:eastAsia="zh-CN"/>
        </w:rPr>
      </w:pPr>
      <w:r>
        <w:rPr>
          <w:rFonts w:hint="eastAsia" w:ascii="宋体" w:hAnsi="宋体" w:eastAsia="宋体" w:cs="宋体"/>
          <w:i w:val="0"/>
          <w:caps w:val="0"/>
          <w:color w:val="333333"/>
          <w:spacing w:val="0"/>
          <w:sz w:val="32"/>
          <w:szCs w:val="32"/>
          <w:highlight w:val="none"/>
          <w:shd w:val="clear" w:fill="FFFFFF"/>
          <w:lang w:val="en-US" w:eastAsia="zh-CN"/>
        </w:rPr>
        <w:t>网站监管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rightChars="0"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还充分利用上犹公安微博、今日头条和抖音号及时公开相关信息。</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50" w:lineRule="exact"/>
        <w:ind w:left="0" w:leftChars="0" w:firstLine="640" w:firstLineChars="200"/>
        <w:jc w:val="both"/>
        <w:textAlignment w:val="auto"/>
        <w:rPr>
          <w:rFonts w:ascii="宋体" w:hAnsi="宋体" w:eastAsia="宋体" w:cs="宋体"/>
          <w:color w:val="333333"/>
          <w:sz w:val="32"/>
          <w:szCs w:val="32"/>
          <w:shd w:val="clear" w:color="auto" w:fill="FFFFFF"/>
        </w:rPr>
      </w:pPr>
    </w:p>
    <w:p>
      <w:pPr>
        <w:pStyle w:val="4"/>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550" w:lineRule="exact"/>
        <w:ind w:left="0" w:leftChars="0" w:firstLine="643" w:firstLineChars="200"/>
        <w:jc w:val="both"/>
        <w:textAlignment w:val="auto"/>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监督保障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rightChars="0"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加强对新修订的《中华人民共和国政府信息公开条例》的学习，进一步规范政府信息公开申请办理答复工作，提高办理质量。严格执行网站维护管理办法，规范网站栏目内容更新时限、信息发布、安全维护与管理、监督考核等具体要求。</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50" w:lineRule="exact"/>
        <w:ind w:left="0"/>
        <w:jc w:val="both"/>
        <w:textAlignment w:val="auto"/>
        <w:rPr>
          <w:rFonts w:ascii="宋体" w:hAnsi="宋体" w:eastAsia="宋体" w:cs="宋体"/>
          <w:color w:val="333333"/>
          <w:sz w:val="32"/>
          <w:szCs w:val="32"/>
          <w:shd w:val="clear" w:color="auto" w:fill="FFFFFF"/>
        </w:rPr>
      </w:pP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left="0" w:leftChars="0" w:firstLine="0" w:firstLineChars="0"/>
        <w:textAlignment w:val="auto"/>
        <w:rPr>
          <w:rFonts w:hint="eastAsia" w:ascii="黑体" w:hAnsi="黑体" w:eastAsia="黑体" w:cs="黑体"/>
          <w:bCs/>
          <w:color w:val="333333"/>
          <w:kern w:val="0"/>
          <w:sz w:val="32"/>
          <w:szCs w:val="32"/>
          <w:shd w:val="clear" w:color="auto" w:fill="FFFFFF"/>
          <w:lang w:val="en-US" w:eastAsia="zh-CN" w:bidi="ar-SA"/>
        </w:rPr>
      </w:pPr>
      <w:r>
        <w:rPr>
          <w:rFonts w:hint="eastAsia" w:ascii="黑体" w:hAnsi="黑体" w:eastAsia="黑体" w:cs="黑体"/>
          <w:bCs/>
          <w:color w:val="333333"/>
          <w:kern w:val="0"/>
          <w:sz w:val="32"/>
          <w:szCs w:val="32"/>
          <w:shd w:val="clear" w:color="auto" w:fill="FFFFFF"/>
          <w:lang w:val="en-US" w:eastAsia="zh-CN" w:bidi="ar-SA"/>
        </w:rPr>
        <w:t>主动公开政府信息情况</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3"/>
        <w:gridCol w:w="2455"/>
        <w:gridCol w:w="2131"/>
        <w:gridCol w:w="2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000" w:type="pct"/>
            <w:gridSpan w:val="4"/>
            <w:shd w:val="clear" w:color="auto" w:fill="auto"/>
            <w:vAlign w:val="center"/>
          </w:tcPr>
          <w:p>
            <w:pPr>
              <w:spacing w:line="4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0" w:type="pct"/>
            <w:shd w:val="clear" w:color="auto" w:fill="auto"/>
            <w:vAlign w:val="center"/>
          </w:tcPr>
          <w:p>
            <w:pPr>
              <w:spacing w:line="4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信息内容</w:t>
            </w:r>
          </w:p>
        </w:tc>
        <w:tc>
          <w:tcPr>
            <w:tcW w:w="1372" w:type="pct"/>
            <w:shd w:val="clear" w:color="auto" w:fill="auto"/>
            <w:vAlign w:val="center"/>
          </w:tcPr>
          <w:p>
            <w:pPr>
              <w:spacing w:line="4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本年新制作数量</w:t>
            </w:r>
          </w:p>
        </w:tc>
        <w:tc>
          <w:tcPr>
            <w:tcW w:w="1191" w:type="pct"/>
            <w:shd w:val="clear" w:color="auto" w:fill="auto"/>
            <w:vAlign w:val="center"/>
          </w:tcPr>
          <w:p>
            <w:pPr>
              <w:spacing w:line="4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本年新公开数量</w:t>
            </w:r>
          </w:p>
        </w:tc>
        <w:tc>
          <w:tcPr>
            <w:tcW w:w="1355" w:type="pct"/>
            <w:shd w:val="clear" w:color="auto" w:fill="auto"/>
            <w:vAlign w:val="center"/>
          </w:tcPr>
          <w:p>
            <w:pPr>
              <w:spacing w:line="4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0" w:type="pct"/>
            <w:shd w:val="clear" w:color="auto" w:fill="auto"/>
            <w:vAlign w:val="center"/>
          </w:tcPr>
          <w:p>
            <w:pPr>
              <w:spacing w:line="4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规    章</w:t>
            </w:r>
          </w:p>
        </w:tc>
        <w:tc>
          <w:tcPr>
            <w:tcW w:w="1372" w:type="pct"/>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0</w:t>
            </w:r>
          </w:p>
        </w:tc>
        <w:tc>
          <w:tcPr>
            <w:tcW w:w="1191" w:type="pct"/>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0</w:t>
            </w:r>
          </w:p>
        </w:tc>
        <w:tc>
          <w:tcPr>
            <w:tcW w:w="1355" w:type="pct"/>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0" w:type="pct"/>
            <w:shd w:val="clear" w:color="auto" w:fill="auto"/>
            <w:vAlign w:val="center"/>
          </w:tcPr>
          <w:p>
            <w:pPr>
              <w:spacing w:line="4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规范性文件</w:t>
            </w:r>
          </w:p>
        </w:tc>
        <w:tc>
          <w:tcPr>
            <w:tcW w:w="1372" w:type="pct"/>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0</w:t>
            </w:r>
          </w:p>
        </w:tc>
        <w:tc>
          <w:tcPr>
            <w:tcW w:w="1191" w:type="pct"/>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0</w:t>
            </w:r>
          </w:p>
        </w:tc>
        <w:tc>
          <w:tcPr>
            <w:tcW w:w="1355" w:type="pct"/>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000" w:type="pct"/>
            <w:gridSpan w:val="4"/>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0" w:type="pct"/>
            <w:shd w:val="clear" w:color="auto" w:fill="auto"/>
            <w:vAlign w:val="center"/>
          </w:tcPr>
          <w:p>
            <w:pPr>
              <w:spacing w:line="4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信息内容</w:t>
            </w:r>
          </w:p>
        </w:tc>
        <w:tc>
          <w:tcPr>
            <w:tcW w:w="1372" w:type="pct"/>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上一年项目数量</w:t>
            </w:r>
          </w:p>
        </w:tc>
        <w:tc>
          <w:tcPr>
            <w:tcW w:w="1191" w:type="pct"/>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本年增/减</w:t>
            </w:r>
          </w:p>
        </w:tc>
        <w:tc>
          <w:tcPr>
            <w:tcW w:w="1355" w:type="pct"/>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0" w:type="pct"/>
            <w:shd w:val="clear" w:color="auto" w:fill="auto"/>
            <w:vAlign w:val="center"/>
          </w:tcPr>
          <w:p>
            <w:pPr>
              <w:spacing w:line="4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行政许可</w:t>
            </w:r>
          </w:p>
        </w:tc>
        <w:tc>
          <w:tcPr>
            <w:tcW w:w="1372" w:type="pct"/>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0</w:t>
            </w:r>
          </w:p>
        </w:tc>
        <w:tc>
          <w:tcPr>
            <w:tcW w:w="1191" w:type="pct"/>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p>
        </w:tc>
        <w:tc>
          <w:tcPr>
            <w:tcW w:w="1355" w:type="pct"/>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0"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其他对外管理服务事项</w:t>
            </w:r>
          </w:p>
        </w:tc>
        <w:tc>
          <w:tcPr>
            <w:tcW w:w="1372" w:type="pct"/>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0</w:t>
            </w:r>
          </w:p>
        </w:tc>
        <w:tc>
          <w:tcPr>
            <w:tcW w:w="1191" w:type="pct"/>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0</w:t>
            </w:r>
          </w:p>
        </w:tc>
        <w:tc>
          <w:tcPr>
            <w:tcW w:w="1355" w:type="pct"/>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000" w:type="pct"/>
            <w:gridSpan w:val="4"/>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0" w:type="pct"/>
            <w:shd w:val="clear" w:color="auto" w:fill="auto"/>
            <w:vAlign w:val="center"/>
          </w:tcPr>
          <w:p>
            <w:pPr>
              <w:spacing w:line="4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信息内容</w:t>
            </w:r>
          </w:p>
        </w:tc>
        <w:tc>
          <w:tcPr>
            <w:tcW w:w="1372" w:type="pct"/>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上一年项目数量</w:t>
            </w:r>
          </w:p>
        </w:tc>
        <w:tc>
          <w:tcPr>
            <w:tcW w:w="1191" w:type="pct"/>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本年增/减</w:t>
            </w:r>
          </w:p>
        </w:tc>
        <w:tc>
          <w:tcPr>
            <w:tcW w:w="1355" w:type="pct"/>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0" w:type="pct"/>
            <w:shd w:val="clear" w:color="auto" w:fill="auto"/>
            <w:vAlign w:val="center"/>
          </w:tcPr>
          <w:p>
            <w:pPr>
              <w:spacing w:line="4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行政处罚</w:t>
            </w:r>
          </w:p>
        </w:tc>
        <w:tc>
          <w:tcPr>
            <w:tcW w:w="1372" w:type="pct"/>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843</w:t>
            </w:r>
          </w:p>
        </w:tc>
        <w:tc>
          <w:tcPr>
            <w:tcW w:w="1191" w:type="pct"/>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-840</w:t>
            </w:r>
          </w:p>
        </w:tc>
        <w:tc>
          <w:tcPr>
            <w:tcW w:w="1355" w:type="pct"/>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0" w:type="pct"/>
            <w:shd w:val="clear" w:color="auto" w:fill="auto"/>
            <w:vAlign w:val="center"/>
          </w:tcPr>
          <w:p>
            <w:pPr>
              <w:spacing w:line="4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行政强制</w:t>
            </w:r>
          </w:p>
        </w:tc>
        <w:tc>
          <w:tcPr>
            <w:tcW w:w="1372" w:type="pct"/>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260</w:t>
            </w:r>
          </w:p>
        </w:tc>
        <w:tc>
          <w:tcPr>
            <w:tcW w:w="1191" w:type="pct"/>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-257</w:t>
            </w:r>
          </w:p>
        </w:tc>
        <w:tc>
          <w:tcPr>
            <w:tcW w:w="1355" w:type="pct"/>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000" w:type="pct"/>
            <w:gridSpan w:val="4"/>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0" w:type="pct"/>
            <w:shd w:val="clear" w:color="auto" w:fill="auto"/>
            <w:vAlign w:val="center"/>
          </w:tcPr>
          <w:p>
            <w:pPr>
              <w:spacing w:line="4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信息内容</w:t>
            </w:r>
          </w:p>
        </w:tc>
        <w:tc>
          <w:tcPr>
            <w:tcW w:w="1372" w:type="pct"/>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上一年项目数量</w:t>
            </w:r>
          </w:p>
        </w:tc>
        <w:tc>
          <w:tcPr>
            <w:tcW w:w="2546" w:type="pct"/>
            <w:gridSpan w:val="2"/>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0" w:type="pct"/>
            <w:shd w:val="clear" w:color="auto" w:fill="auto"/>
            <w:vAlign w:val="center"/>
          </w:tcPr>
          <w:p>
            <w:pPr>
              <w:spacing w:line="4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行政事业性收费</w:t>
            </w:r>
          </w:p>
        </w:tc>
        <w:tc>
          <w:tcPr>
            <w:tcW w:w="1372" w:type="pct"/>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0</w:t>
            </w:r>
          </w:p>
        </w:tc>
        <w:tc>
          <w:tcPr>
            <w:tcW w:w="2546" w:type="pct"/>
            <w:gridSpan w:val="2"/>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000" w:type="pct"/>
            <w:gridSpan w:val="4"/>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0" w:type="pct"/>
            <w:shd w:val="clear" w:color="auto" w:fill="auto"/>
            <w:vAlign w:val="center"/>
          </w:tcPr>
          <w:p>
            <w:pPr>
              <w:spacing w:line="4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信息内容</w:t>
            </w:r>
          </w:p>
        </w:tc>
        <w:tc>
          <w:tcPr>
            <w:tcW w:w="1372" w:type="pct"/>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采购项目数量</w:t>
            </w:r>
          </w:p>
        </w:tc>
        <w:tc>
          <w:tcPr>
            <w:tcW w:w="2546" w:type="pct"/>
            <w:gridSpan w:val="2"/>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0" w:type="pct"/>
            <w:shd w:val="clear" w:color="auto" w:fill="auto"/>
            <w:vAlign w:val="center"/>
          </w:tcPr>
          <w:p>
            <w:pPr>
              <w:spacing w:line="4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政府集中采购</w:t>
            </w:r>
          </w:p>
        </w:tc>
        <w:tc>
          <w:tcPr>
            <w:tcW w:w="1372" w:type="pct"/>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0</w:t>
            </w:r>
          </w:p>
        </w:tc>
        <w:tc>
          <w:tcPr>
            <w:tcW w:w="2546" w:type="pct"/>
            <w:gridSpan w:val="2"/>
            <w:shd w:val="clear" w:color="auto" w:fill="auto"/>
            <w:vAlign w:val="center"/>
          </w:tcPr>
          <w:p>
            <w:pPr>
              <w:spacing w:line="46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0</w:t>
            </w:r>
          </w:p>
        </w:tc>
      </w:tr>
    </w:tbl>
    <w:p>
      <w:pPr>
        <w:keepNext w:val="0"/>
        <w:keepLines w:val="0"/>
        <w:pageBreakBefore w:val="0"/>
        <w:numPr>
          <w:ilvl w:val="0"/>
          <w:numId w:val="0"/>
        </w:numPr>
        <w:kinsoku/>
        <w:wordWrap/>
        <w:overflowPunct/>
        <w:topLinePunct w:val="0"/>
        <w:autoSpaceDE/>
        <w:autoSpaceDN/>
        <w:bidi w:val="0"/>
        <w:adjustRightInd/>
        <w:snapToGrid/>
        <w:spacing w:line="550" w:lineRule="exact"/>
        <w:textAlignment w:val="auto"/>
        <w:rPr>
          <w:rFonts w:hint="eastAsia" w:ascii="黑体" w:hAnsi="黑体" w:eastAsia="黑体" w:cs="黑体"/>
          <w:bCs/>
          <w:color w:val="333333"/>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仿宋_GB2312" w:hAnsi="仿宋" w:eastAsia="仿宋_GB2312" w:cs="仿宋"/>
          <w:b/>
          <w:sz w:val="32"/>
          <w:szCs w:val="32"/>
        </w:rPr>
      </w:pPr>
    </w:p>
    <w:p>
      <w:pPr>
        <w:keepNext w:val="0"/>
        <w:keepLines w:val="0"/>
        <w:pageBreakBefore w:val="0"/>
        <w:kinsoku/>
        <w:wordWrap/>
        <w:overflowPunct/>
        <w:topLinePunct w:val="0"/>
        <w:autoSpaceDE/>
        <w:autoSpaceDN/>
        <w:bidi w:val="0"/>
        <w:adjustRightInd/>
        <w:snapToGrid/>
        <w:spacing w:line="570" w:lineRule="exact"/>
        <w:ind w:left="0"/>
        <w:textAlignment w:val="auto"/>
        <w:rPr>
          <w:rFonts w:hint="eastAsia" w:ascii="黑体" w:hAnsi="黑体" w:eastAsia="黑体" w:cs="黑体"/>
          <w:bCs/>
          <w:color w:val="333333"/>
          <w:kern w:val="0"/>
          <w:sz w:val="32"/>
          <w:szCs w:val="32"/>
          <w:shd w:val="clear" w:color="auto" w:fill="FFFFFF"/>
          <w:lang w:val="en-US" w:eastAsia="zh-CN" w:bidi="ar-SA"/>
        </w:rPr>
      </w:pPr>
      <w:r>
        <w:rPr>
          <w:rFonts w:hint="eastAsia" w:ascii="黑体" w:hAnsi="黑体" w:eastAsia="黑体" w:cs="黑体"/>
          <w:bCs/>
          <w:color w:val="333333"/>
          <w:kern w:val="0"/>
          <w:sz w:val="32"/>
          <w:szCs w:val="32"/>
          <w:shd w:val="clear" w:color="auto" w:fill="FFFFFF"/>
          <w:lang w:val="en-US" w:eastAsia="zh-CN" w:bidi="ar-SA"/>
        </w:rPr>
        <w:t>三、收到和处理政府信息公开申请情况</w:t>
      </w:r>
    </w:p>
    <w:tbl>
      <w:tblPr>
        <w:tblStyle w:val="5"/>
        <w:tblW w:w="4997"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63"/>
        <w:gridCol w:w="900"/>
        <w:gridCol w:w="3338"/>
        <w:gridCol w:w="562"/>
        <w:gridCol w:w="619"/>
        <w:gridCol w:w="600"/>
        <w:gridCol w:w="694"/>
        <w:gridCol w:w="596"/>
        <w:gridCol w:w="486"/>
        <w:gridCol w:w="5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9" w:hRule="atLeast"/>
          <w:jc w:val="center"/>
        </w:trPr>
        <w:tc>
          <w:tcPr>
            <w:tcW w:w="2684" w:type="pct"/>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r>
              <w:rPr>
                <w:rFonts w:ascii="Times New Roman" w:hAnsi="Times New Roman" w:eastAsia="宋体" w:cs="Times New Roman"/>
                <w:color w:val="FF0000"/>
                <w:kern w:val="0"/>
                <w:sz w:val="24"/>
                <w:szCs w:val="24"/>
                <w:lang w:bidi="ar"/>
              </w:rPr>
              <w:t>（本列数据的勾稽关系为：第一项加第二项之和，等于第三项加第四项之和）</w:t>
            </w:r>
          </w:p>
        </w:tc>
        <w:tc>
          <w:tcPr>
            <w:tcW w:w="2315" w:type="pct"/>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bottom"/>
          </w:tcPr>
          <w:p>
            <w:pPr>
              <w:widowControl/>
              <w:adjustRightInd w:val="0"/>
              <w:snapToGrid w:val="0"/>
              <w:spacing w:after="180"/>
              <w:ind w:firstLine="480" w:firstLineChars="200"/>
              <w:jc w:val="center"/>
              <w:rPr>
                <w:rFonts w:ascii="Times New Roman" w:hAnsi="Times New Roman" w:cs="Times New Roman"/>
                <w:sz w:val="24"/>
                <w:szCs w:val="24"/>
              </w:rPr>
            </w:pPr>
            <w:r>
              <w:rPr>
                <w:rFonts w:ascii="Times New Roman" w:hAnsi="Times New Roman" w:eastAsia="宋体" w:cs="Times New Roman"/>
                <w:kern w:val="0"/>
                <w:sz w:val="24"/>
                <w:szCs w:val="24"/>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6" w:hRule="atLeast"/>
          <w:jc w:val="center"/>
        </w:trPr>
        <w:tc>
          <w:tcPr>
            <w:tcW w:w="2684" w:type="pct"/>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center"/>
              <w:rPr>
                <w:rFonts w:ascii="Times New Roman" w:hAnsi="Times New Roman" w:cs="Times New Roman"/>
                <w:sz w:val="24"/>
                <w:szCs w:val="24"/>
              </w:rPr>
            </w:pPr>
          </w:p>
        </w:tc>
        <w:tc>
          <w:tcPr>
            <w:tcW w:w="314" w:type="pct"/>
            <w:vMerge w:val="restart"/>
            <w:tcBorders>
              <w:top w:val="nil"/>
              <w:left w:val="nil"/>
              <w:bottom w:val="single" w:color="auto" w:sz="8" w:space="0"/>
              <w:right w:val="single" w:color="auto" w:sz="8" w:space="0"/>
            </w:tcBorders>
            <w:shd w:val="clear" w:color="auto" w:fill="auto"/>
            <w:tcMar>
              <w:left w:w="108" w:type="dxa"/>
              <w:right w:w="108" w:type="dxa"/>
            </w:tcMar>
            <w:vAlign w:val="bottom"/>
          </w:tcPr>
          <w:p>
            <w:pPr>
              <w:widowControl/>
              <w:adjustRightInd w:val="0"/>
              <w:snapToGrid w:val="0"/>
              <w:spacing w:after="180"/>
              <w:jc w:val="center"/>
              <w:rPr>
                <w:rFonts w:ascii="Times New Roman" w:hAnsi="Times New Roman" w:cs="Times New Roman"/>
                <w:sz w:val="24"/>
                <w:szCs w:val="24"/>
              </w:rPr>
            </w:pPr>
            <w:r>
              <w:rPr>
                <w:rFonts w:ascii="Times New Roman" w:hAnsi="Times New Roman" w:eastAsia="宋体" w:cs="Times New Roman"/>
                <w:kern w:val="0"/>
                <w:sz w:val="24"/>
                <w:szCs w:val="24"/>
                <w:lang w:bidi="ar"/>
              </w:rPr>
              <w:t>自然人</w:t>
            </w:r>
          </w:p>
        </w:tc>
        <w:tc>
          <w:tcPr>
            <w:tcW w:w="1674" w:type="pct"/>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bottom"/>
          </w:tcPr>
          <w:p>
            <w:pPr>
              <w:widowControl/>
              <w:adjustRightInd w:val="0"/>
              <w:snapToGrid w:val="0"/>
              <w:spacing w:after="180"/>
              <w:ind w:firstLine="480" w:firstLineChars="200"/>
              <w:jc w:val="center"/>
              <w:rPr>
                <w:rFonts w:ascii="Times New Roman" w:hAnsi="Times New Roman" w:cs="Times New Roman"/>
                <w:sz w:val="24"/>
                <w:szCs w:val="24"/>
              </w:rPr>
            </w:pPr>
            <w:r>
              <w:rPr>
                <w:rFonts w:ascii="Times New Roman" w:hAnsi="Times New Roman" w:eastAsia="宋体" w:cs="Times New Roman"/>
                <w:kern w:val="0"/>
                <w:sz w:val="24"/>
                <w:szCs w:val="24"/>
                <w:lang w:bidi="ar"/>
              </w:rPr>
              <w:t>法人或其他组织</w:t>
            </w:r>
          </w:p>
        </w:tc>
        <w:tc>
          <w:tcPr>
            <w:tcW w:w="327" w:type="pct"/>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bottom"/>
          </w:tcPr>
          <w:p>
            <w:pPr>
              <w:widowControl/>
              <w:adjustRightInd w:val="0"/>
              <w:snapToGrid w:val="0"/>
              <w:spacing w:after="180"/>
              <w:jc w:val="center"/>
              <w:rPr>
                <w:rFonts w:ascii="Times New Roman" w:hAnsi="Times New Roman" w:cs="Times New Roman"/>
                <w:sz w:val="24"/>
                <w:szCs w:val="24"/>
              </w:rPr>
            </w:pPr>
            <w:r>
              <w:rPr>
                <w:rFonts w:ascii="Times New Roman" w:hAnsi="Times New Roman" w:eastAsia="宋体" w:cs="Times New Roman"/>
                <w:kern w:val="0"/>
                <w:sz w:val="24"/>
                <w:szCs w:val="24"/>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84" w:hRule="atLeast"/>
          <w:jc w:val="center"/>
        </w:trPr>
        <w:tc>
          <w:tcPr>
            <w:tcW w:w="2684" w:type="pct"/>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center"/>
              <w:rPr>
                <w:rFonts w:ascii="Times New Roman" w:hAnsi="Times New Roman" w:cs="Times New Roman"/>
                <w:sz w:val="24"/>
                <w:szCs w:val="24"/>
              </w:rPr>
            </w:pPr>
          </w:p>
        </w:tc>
        <w:tc>
          <w:tcPr>
            <w:tcW w:w="3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center"/>
              <w:rPr>
                <w:rFonts w:ascii="Times New Roman" w:hAnsi="Times New Roman" w:cs="Times New Roman"/>
                <w:sz w:val="24"/>
                <w:szCs w:val="24"/>
              </w:rPr>
            </w:pPr>
          </w:p>
        </w:tc>
        <w:tc>
          <w:tcPr>
            <w:tcW w:w="34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jc w:val="center"/>
              <w:rPr>
                <w:rFonts w:ascii="Times New Roman" w:hAnsi="Times New Roman" w:cs="Times New Roman"/>
                <w:sz w:val="24"/>
                <w:szCs w:val="24"/>
              </w:rPr>
            </w:pPr>
            <w:r>
              <w:rPr>
                <w:rFonts w:ascii="Times New Roman" w:hAnsi="Times New Roman" w:eastAsia="宋体" w:cs="Times New Roman"/>
                <w:kern w:val="0"/>
                <w:sz w:val="24"/>
                <w:szCs w:val="24"/>
                <w:lang w:bidi="ar"/>
              </w:rPr>
              <w:t>商业企业</w:t>
            </w:r>
          </w:p>
        </w:tc>
        <w:tc>
          <w:tcPr>
            <w:tcW w:w="335"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jc w:val="center"/>
              <w:rPr>
                <w:rFonts w:ascii="Times New Roman" w:hAnsi="Times New Roman" w:cs="Times New Roman"/>
                <w:sz w:val="24"/>
                <w:szCs w:val="24"/>
              </w:rPr>
            </w:pPr>
            <w:r>
              <w:rPr>
                <w:rFonts w:ascii="Times New Roman" w:hAnsi="Times New Roman" w:eastAsia="宋体" w:cs="Times New Roman"/>
                <w:kern w:val="0"/>
                <w:sz w:val="24"/>
                <w:szCs w:val="24"/>
                <w:lang w:bidi="ar"/>
              </w:rPr>
              <w:t>科研机构</w:t>
            </w:r>
          </w:p>
        </w:tc>
        <w:tc>
          <w:tcPr>
            <w:tcW w:w="388"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jc w:val="center"/>
              <w:rPr>
                <w:rFonts w:ascii="Times New Roman" w:hAnsi="Times New Roman" w:cs="Times New Roman"/>
                <w:sz w:val="24"/>
                <w:szCs w:val="24"/>
              </w:rPr>
            </w:pPr>
            <w:r>
              <w:rPr>
                <w:rFonts w:ascii="Times New Roman" w:hAnsi="Times New Roman" w:eastAsia="宋体" w:cs="Times New Roman"/>
                <w:kern w:val="0"/>
                <w:sz w:val="24"/>
                <w:szCs w:val="24"/>
                <w:lang w:bidi="ar"/>
              </w:rPr>
              <w:t>社会公益组织</w:t>
            </w:r>
          </w:p>
        </w:tc>
        <w:tc>
          <w:tcPr>
            <w:tcW w:w="333"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jc w:val="center"/>
              <w:rPr>
                <w:rFonts w:ascii="Times New Roman" w:hAnsi="Times New Roman" w:cs="Times New Roman"/>
                <w:sz w:val="24"/>
                <w:szCs w:val="24"/>
              </w:rPr>
            </w:pPr>
            <w:r>
              <w:rPr>
                <w:rFonts w:ascii="Times New Roman" w:hAnsi="Times New Roman" w:eastAsia="宋体" w:cs="Times New Roman"/>
                <w:kern w:val="0"/>
                <w:sz w:val="24"/>
                <w:szCs w:val="24"/>
                <w:lang w:bidi="ar"/>
              </w:rPr>
              <w:t>法律服务机构</w:t>
            </w:r>
          </w:p>
        </w:tc>
        <w:tc>
          <w:tcPr>
            <w:tcW w:w="271"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jc w:val="center"/>
              <w:rPr>
                <w:rFonts w:ascii="Times New Roman" w:hAnsi="Times New Roman" w:cs="Times New Roman"/>
                <w:sz w:val="24"/>
                <w:szCs w:val="24"/>
              </w:rPr>
            </w:pPr>
            <w:r>
              <w:rPr>
                <w:rFonts w:ascii="Times New Roman" w:hAnsi="Times New Roman" w:eastAsia="宋体" w:cs="Times New Roman"/>
                <w:kern w:val="0"/>
                <w:sz w:val="24"/>
                <w:szCs w:val="24"/>
                <w:lang w:bidi="ar"/>
              </w:rPr>
              <w:t>其他</w:t>
            </w:r>
          </w:p>
        </w:tc>
        <w:tc>
          <w:tcPr>
            <w:tcW w:w="327" w:type="pct"/>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center"/>
              <w:rPr>
                <w:rFonts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2684" w:type="pct"/>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jc w:val="center"/>
              <w:rPr>
                <w:rFonts w:ascii="Times New Roman" w:hAnsi="Times New Roman" w:cs="Times New Roman"/>
                <w:sz w:val="24"/>
                <w:szCs w:val="24"/>
              </w:rPr>
            </w:pPr>
            <w:r>
              <w:rPr>
                <w:rFonts w:ascii="Times New Roman" w:hAnsi="Times New Roman" w:eastAsia="宋体" w:cs="Times New Roman"/>
                <w:kern w:val="0"/>
                <w:sz w:val="24"/>
                <w:szCs w:val="24"/>
                <w:lang w:bidi="ar"/>
              </w:rPr>
              <w:t>一、本年新收政府信息公开申请数量</w:t>
            </w:r>
          </w:p>
        </w:tc>
        <w:tc>
          <w:tcPr>
            <w:tcW w:w="314"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4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5"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88"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27"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2684" w:type="pct"/>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jc w:val="center"/>
              <w:rPr>
                <w:rFonts w:ascii="Times New Roman" w:hAnsi="Times New Roman" w:cs="Times New Roman"/>
                <w:sz w:val="24"/>
                <w:szCs w:val="24"/>
              </w:rPr>
            </w:pPr>
            <w:r>
              <w:rPr>
                <w:rFonts w:ascii="Times New Roman" w:hAnsi="Times New Roman" w:eastAsia="宋体" w:cs="Times New Roman"/>
                <w:kern w:val="0"/>
                <w:sz w:val="24"/>
                <w:szCs w:val="24"/>
                <w:lang w:bidi="ar"/>
              </w:rPr>
              <w:t>二、上年结转政府信息公开申请数量</w:t>
            </w:r>
          </w:p>
        </w:tc>
        <w:tc>
          <w:tcPr>
            <w:tcW w:w="314"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4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5"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88"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27"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9" w:hRule="exact"/>
          <w:jc w:val="center"/>
        </w:trPr>
        <w:tc>
          <w:tcPr>
            <w:tcW w:w="314" w:type="pct"/>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jc w:val="center"/>
              <w:rPr>
                <w:rFonts w:ascii="Times New Roman" w:hAnsi="Times New Roman" w:cs="Times New Roman"/>
                <w:sz w:val="24"/>
                <w:szCs w:val="24"/>
              </w:rPr>
            </w:pPr>
            <w:r>
              <w:rPr>
                <w:rFonts w:ascii="Times New Roman" w:hAnsi="Times New Roman" w:eastAsia="宋体" w:cs="Times New Roman"/>
                <w:kern w:val="0"/>
                <w:sz w:val="24"/>
                <w:szCs w:val="24"/>
                <w:lang w:bidi="ar"/>
              </w:rPr>
              <w:t>三、本年度办理结果</w:t>
            </w:r>
          </w:p>
        </w:tc>
        <w:tc>
          <w:tcPr>
            <w:tcW w:w="2369" w:type="pct"/>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jc w:val="both"/>
              <w:rPr>
                <w:rFonts w:ascii="Times New Roman" w:hAnsi="Times New Roman" w:cs="Times New Roman"/>
                <w:sz w:val="24"/>
                <w:szCs w:val="24"/>
              </w:rPr>
            </w:pPr>
            <w:r>
              <w:rPr>
                <w:rFonts w:ascii="Times New Roman" w:hAnsi="Times New Roman" w:eastAsia="楷体" w:cs="Times New Roman"/>
                <w:kern w:val="0"/>
                <w:sz w:val="24"/>
                <w:szCs w:val="24"/>
                <w:lang w:bidi="ar"/>
              </w:rPr>
              <w:t>（一）予以公开</w:t>
            </w:r>
          </w:p>
        </w:tc>
        <w:tc>
          <w:tcPr>
            <w:tcW w:w="314"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4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5"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88"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27"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0" w:hRule="exact"/>
          <w:jc w:val="center"/>
        </w:trPr>
        <w:tc>
          <w:tcPr>
            <w:tcW w:w="314"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center"/>
              <w:rPr>
                <w:rFonts w:ascii="Times New Roman" w:hAnsi="Times New Roman" w:cs="Times New Roman"/>
                <w:sz w:val="24"/>
                <w:szCs w:val="24"/>
              </w:rPr>
            </w:pPr>
          </w:p>
        </w:tc>
        <w:tc>
          <w:tcPr>
            <w:tcW w:w="2369" w:type="pct"/>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jc w:val="both"/>
              <w:rPr>
                <w:rFonts w:ascii="Times New Roman" w:hAnsi="Times New Roman" w:cs="Times New Roman"/>
                <w:sz w:val="24"/>
                <w:szCs w:val="24"/>
              </w:rPr>
            </w:pPr>
            <w:r>
              <w:rPr>
                <w:rFonts w:ascii="Times New Roman" w:hAnsi="Times New Roman" w:eastAsia="楷体" w:cs="Times New Roman"/>
                <w:kern w:val="0"/>
                <w:sz w:val="24"/>
                <w:szCs w:val="24"/>
                <w:lang w:bidi="ar"/>
              </w:rPr>
              <w:t>（二）部分公开（区分处理的，只计这一情形，不计其他情形）</w:t>
            </w:r>
          </w:p>
        </w:tc>
        <w:tc>
          <w:tcPr>
            <w:tcW w:w="314"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4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5"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88"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27"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314"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center"/>
              <w:rPr>
                <w:rFonts w:ascii="Times New Roman" w:hAnsi="Times New Roman" w:cs="Times New Roman"/>
                <w:sz w:val="24"/>
                <w:szCs w:val="24"/>
              </w:rPr>
            </w:pPr>
          </w:p>
        </w:tc>
        <w:tc>
          <w:tcPr>
            <w:tcW w:w="503"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jc w:val="both"/>
              <w:rPr>
                <w:rFonts w:ascii="Times New Roman" w:hAnsi="Times New Roman" w:cs="Times New Roman"/>
                <w:sz w:val="24"/>
                <w:szCs w:val="24"/>
              </w:rPr>
            </w:pPr>
            <w:r>
              <w:rPr>
                <w:rFonts w:ascii="Times New Roman" w:hAnsi="Times New Roman" w:eastAsia="楷体" w:cs="Times New Roman"/>
                <w:kern w:val="0"/>
                <w:sz w:val="24"/>
                <w:szCs w:val="24"/>
                <w:lang w:bidi="ar"/>
              </w:rPr>
              <w:t>（三）不予公开</w:t>
            </w:r>
          </w:p>
        </w:tc>
        <w:tc>
          <w:tcPr>
            <w:tcW w:w="186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jc w:val="both"/>
              <w:rPr>
                <w:rFonts w:ascii="Times New Roman" w:hAnsi="Times New Roman" w:cs="Times New Roman"/>
                <w:sz w:val="24"/>
                <w:szCs w:val="24"/>
              </w:rPr>
            </w:pPr>
            <w:r>
              <w:rPr>
                <w:rFonts w:ascii="Times New Roman" w:hAnsi="Times New Roman" w:eastAsia="楷体" w:cs="Times New Roman"/>
                <w:kern w:val="0"/>
                <w:sz w:val="24"/>
                <w:szCs w:val="24"/>
                <w:lang w:bidi="ar"/>
              </w:rPr>
              <w:t>1.属于国家秘密</w:t>
            </w:r>
          </w:p>
        </w:tc>
        <w:tc>
          <w:tcPr>
            <w:tcW w:w="314"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4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5"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88"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27"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314"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center"/>
              <w:rPr>
                <w:rFonts w:ascii="Times New Roman" w:hAnsi="Times New Roman" w:cs="Times New Roman"/>
                <w:sz w:val="24"/>
                <w:szCs w:val="24"/>
              </w:rPr>
            </w:pPr>
          </w:p>
        </w:tc>
        <w:tc>
          <w:tcPr>
            <w:tcW w:w="503"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both"/>
              <w:rPr>
                <w:rFonts w:ascii="Times New Roman" w:hAnsi="Times New Roman" w:cs="Times New Roman"/>
                <w:sz w:val="24"/>
                <w:szCs w:val="24"/>
              </w:rPr>
            </w:pPr>
          </w:p>
        </w:tc>
        <w:tc>
          <w:tcPr>
            <w:tcW w:w="186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jc w:val="both"/>
              <w:rPr>
                <w:rFonts w:ascii="Times New Roman" w:hAnsi="Times New Roman" w:cs="Times New Roman"/>
                <w:sz w:val="24"/>
                <w:szCs w:val="24"/>
              </w:rPr>
            </w:pPr>
            <w:r>
              <w:rPr>
                <w:rFonts w:ascii="Times New Roman" w:hAnsi="Times New Roman" w:eastAsia="楷体" w:cs="Times New Roman"/>
                <w:kern w:val="0"/>
                <w:sz w:val="24"/>
                <w:szCs w:val="24"/>
                <w:lang w:bidi="ar"/>
              </w:rPr>
              <w:t>2.其他法律行政法规禁止公开</w:t>
            </w:r>
          </w:p>
        </w:tc>
        <w:tc>
          <w:tcPr>
            <w:tcW w:w="314"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4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5"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88"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27"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314"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center"/>
              <w:rPr>
                <w:rFonts w:ascii="Times New Roman" w:hAnsi="Times New Roman" w:cs="Times New Roman"/>
                <w:sz w:val="24"/>
                <w:szCs w:val="24"/>
              </w:rPr>
            </w:pPr>
          </w:p>
        </w:tc>
        <w:tc>
          <w:tcPr>
            <w:tcW w:w="503"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both"/>
              <w:rPr>
                <w:rFonts w:ascii="Times New Roman" w:hAnsi="Times New Roman" w:cs="Times New Roman"/>
                <w:sz w:val="24"/>
                <w:szCs w:val="24"/>
              </w:rPr>
            </w:pPr>
          </w:p>
        </w:tc>
        <w:tc>
          <w:tcPr>
            <w:tcW w:w="186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jc w:val="both"/>
              <w:rPr>
                <w:rFonts w:ascii="Times New Roman" w:hAnsi="Times New Roman" w:cs="Times New Roman"/>
                <w:sz w:val="24"/>
                <w:szCs w:val="24"/>
              </w:rPr>
            </w:pPr>
            <w:r>
              <w:rPr>
                <w:rFonts w:ascii="Times New Roman" w:hAnsi="Times New Roman" w:eastAsia="楷体" w:cs="Times New Roman"/>
                <w:kern w:val="0"/>
                <w:sz w:val="24"/>
                <w:szCs w:val="24"/>
                <w:lang w:bidi="ar"/>
              </w:rPr>
              <w:t>3.危及“三安全一稳定”</w:t>
            </w:r>
          </w:p>
        </w:tc>
        <w:tc>
          <w:tcPr>
            <w:tcW w:w="314"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4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5"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88"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27"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314"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center"/>
              <w:rPr>
                <w:rFonts w:ascii="Times New Roman" w:hAnsi="Times New Roman" w:cs="Times New Roman"/>
                <w:sz w:val="24"/>
                <w:szCs w:val="24"/>
              </w:rPr>
            </w:pPr>
          </w:p>
        </w:tc>
        <w:tc>
          <w:tcPr>
            <w:tcW w:w="503"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both"/>
              <w:rPr>
                <w:rFonts w:ascii="Times New Roman" w:hAnsi="Times New Roman" w:cs="Times New Roman"/>
                <w:sz w:val="24"/>
                <w:szCs w:val="24"/>
              </w:rPr>
            </w:pPr>
          </w:p>
        </w:tc>
        <w:tc>
          <w:tcPr>
            <w:tcW w:w="186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jc w:val="both"/>
              <w:rPr>
                <w:rFonts w:ascii="Times New Roman" w:hAnsi="Times New Roman" w:cs="Times New Roman"/>
                <w:sz w:val="24"/>
                <w:szCs w:val="24"/>
              </w:rPr>
            </w:pPr>
            <w:r>
              <w:rPr>
                <w:rFonts w:ascii="Times New Roman" w:hAnsi="Times New Roman" w:eastAsia="楷体" w:cs="Times New Roman"/>
                <w:kern w:val="0"/>
                <w:sz w:val="24"/>
                <w:szCs w:val="24"/>
                <w:lang w:bidi="ar"/>
              </w:rPr>
              <w:t>4.保护第三方合法权益</w:t>
            </w:r>
          </w:p>
        </w:tc>
        <w:tc>
          <w:tcPr>
            <w:tcW w:w="314"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4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5"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88"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27"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314"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center"/>
              <w:rPr>
                <w:rFonts w:ascii="Times New Roman" w:hAnsi="Times New Roman" w:cs="Times New Roman"/>
                <w:sz w:val="24"/>
                <w:szCs w:val="24"/>
              </w:rPr>
            </w:pPr>
          </w:p>
        </w:tc>
        <w:tc>
          <w:tcPr>
            <w:tcW w:w="503"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both"/>
              <w:rPr>
                <w:rFonts w:ascii="Times New Roman" w:hAnsi="Times New Roman" w:cs="Times New Roman"/>
                <w:sz w:val="24"/>
                <w:szCs w:val="24"/>
              </w:rPr>
            </w:pPr>
          </w:p>
        </w:tc>
        <w:tc>
          <w:tcPr>
            <w:tcW w:w="186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jc w:val="both"/>
              <w:rPr>
                <w:rFonts w:ascii="Times New Roman" w:hAnsi="Times New Roman" w:cs="Times New Roman"/>
                <w:sz w:val="24"/>
                <w:szCs w:val="24"/>
              </w:rPr>
            </w:pPr>
            <w:r>
              <w:rPr>
                <w:rFonts w:ascii="Times New Roman" w:hAnsi="Times New Roman" w:eastAsia="楷体" w:cs="Times New Roman"/>
                <w:kern w:val="0"/>
                <w:sz w:val="24"/>
                <w:szCs w:val="24"/>
                <w:lang w:bidi="ar"/>
              </w:rPr>
              <w:t>5.属于三类内部事务信息</w:t>
            </w:r>
          </w:p>
        </w:tc>
        <w:tc>
          <w:tcPr>
            <w:tcW w:w="314"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4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5"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88"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27"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314"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center"/>
              <w:rPr>
                <w:rFonts w:ascii="Times New Roman" w:hAnsi="Times New Roman" w:cs="Times New Roman"/>
                <w:sz w:val="24"/>
                <w:szCs w:val="24"/>
              </w:rPr>
            </w:pPr>
          </w:p>
        </w:tc>
        <w:tc>
          <w:tcPr>
            <w:tcW w:w="503"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both"/>
              <w:rPr>
                <w:rFonts w:ascii="Times New Roman" w:hAnsi="Times New Roman" w:cs="Times New Roman"/>
                <w:sz w:val="24"/>
                <w:szCs w:val="24"/>
              </w:rPr>
            </w:pPr>
          </w:p>
        </w:tc>
        <w:tc>
          <w:tcPr>
            <w:tcW w:w="186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jc w:val="both"/>
              <w:rPr>
                <w:rFonts w:ascii="Times New Roman" w:hAnsi="Times New Roman" w:cs="Times New Roman"/>
                <w:sz w:val="24"/>
                <w:szCs w:val="24"/>
              </w:rPr>
            </w:pPr>
            <w:r>
              <w:rPr>
                <w:rFonts w:ascii="Times New Roman" w:hAnsi="Times New Roman" w:eastAsia="楷体" w:cs="Times New Roman"/>
                <w:kern w:val="0"/>
                <w:sz w:val="24"/>
                <w:szCs w:val="24"/>
                <w:lang w:bidi="ar"/>
              </w:rPr>
              <w:t>6.属于四类过程性信息</w:t>
            </w:r>
          </w:p>
        </w:tc>
        <w:tc>
          <w:tcPr>
            <w:tcW w:w="314"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4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5"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88"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27"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314"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center"/>
              <w:rPr>
                <w:rFonts w:ascii="Times New Roman" w:hAnsi="Times New Roman" w:cs="Times New Roman"/>
                <w:sz w:val="24"/>
                <w:szCs w:val="24"/>
              </w:rPr>
            </w:pPr>
          </w:p>
        </w:tc>
        <w:tc>
          <w:tcPr>
            <w:tcW w:w="503"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both"/>
              <w:rPr>
                <w:rFonts w:ascii="Times New Roman" w:hAnsi="Times New Roman" w:cs="Times New Roman"/>
                <w:sz w:val="24"/>
                <w:szCs w:val="24"/>
              </w:rPr>
            </w:pPr>
          </w:p>
        </w:tc>
        <w:tc>
          <w:tcPr>
            <w:tcW w:w="186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jc w:val="both"/>
              <w:rPr>
                <w:rFonts w:ascii="Times New Roman" w:hAnsi="Times New Roman" w:cs="Times New Roman"/>
                <w:sz w:val="24"/>
                <w:szCs w:val="24"/>
              </w:rPr>
            </w:pPr>
            <w:r>
              <w:rPr>
                <w:rFonts w:ascii="Times New Roman" w:hAnsi="Times New Roman" w:eastAsia="楷体" w:cs="Times New Roman"/>
                <w:kern w:val="0"/>
                <w:sz w:val="24"/>
                <w:szCs w:val="24"/>
                <w:lang w:bidi="ar"/>
              </w:rPr>
              <w:t>7.属于行政执法案卷</w:t>
            </w:r>
          </w:p>
        </w:tc>
        <w:tc>
          <w:tcPr>
            <w:tcW w:w="314"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4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5"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88"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27"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314"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center"/>
              <w:rPr>
                <w:rFonts w:ascii="Times New Roman" w:hAnsi="Times New Roman" w:cs="Times New Roman"/>
                <w:sz w:val="24"/>
                <w:szCs w:val="24"/>
              </w:rPr>
            </w:pPr>
          </w:p>
        </w:tc>
        <w:tc>
          <w:tcPr>
            <w:tcW w:w="503"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both"/>
              <w:rPr>
                <w:rFonts w:ascii="Times New Roman" w:hAnsi="Times New Roman" w:cs="Times New Roman"/>
                <w:sz w:val="24"/>
                <w:szCs w:val="24"/>
              </w:rPr>
            </w:pPr>
          </w:p>
        </w:tc>
        <w:tc>
          <w:tcPr>
            <w:tcW w:w="186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jc w:val="both"/>
              <w:rPr>
                <w:rFonts w:ascii="Times New Roman" w:hAnsi="Times New Roman" w:cs="Times New Roman"/>
                <w:sz w:val="24"/>
                <w:szCs w:val="24"/>
              </w:rPr>
            </w:pPr>
            <w:r>
              <w:rPr>
                <w:rFonts w:ascii="Times New Roman" w:hAnsi="Times New Roman" w:eastAsia="楷体" w:cs="Times New Roman"/>
                <w:kern w:val="0"/>
                <w:sz w:val="24"/>
                <w:szCs w:val="24"/>
                <w:lang w:bidi="ar"/>
              </w:rPr>
              <w:t>8.属于行政查询事项</w:t>
            </w:r>
          </w:p>
        </w:tc>
        <w:tc>
          <w:tcPr>
            <w:tcW w:w="314"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4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5"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88"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27"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8" w:hRule="exact"/>
          <w:jc w:val="center"/>
        </w:trPr>
        <w:tc>
          <w:tcPr>
            <w:tcW w:w="314"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center"/>
              <w:rPr>
                <w:rFonts w:ascii="Times New Roman" w:hAnsi="Times New Roman" w:cs="Times New Roman"/>
                <w:sz w:val="24"/>
                <w:szCs w:val="24"/>
              </w:rPr>
            </w:pPr>
          </w:p>
        </w:tc>
        <w:tc>
          <w:tcPr>
            <w:tcW w:w="503"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jc w:val="both"/>
              <w:rPr>
                <w:rFonts w:ascii="Times New Roman" w:hAnsi="Times New Roman" w:cs="Times New Roman"/>
                <w:sz w:val="24"/>
                <w:szCs w:val="24"/>
              </w:rPr>
            </w:pPr>
            <w:r>
              <w:rPr>
                <w:rFonts w:ascii="Times New Roman" w:hAnsi="Times New Roman" w:eastAsia="楷体" w:cs="Times New Roman"/>
                <w:kern w:val="0"/>
                <w:sz w:val="24"/>
                <w:szCs w:val="24"/>
                <w:lang w:bidi="ar"/>
              </w:rPr>
              <w:t>（四）无法提供</w:t>
            </w:r>
          </w:p>
        </w:tc>
        <w:tc>
          <w:tcPr>
            <w:tcW w:w="186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jc w:val="both"/>
              <w:rPr>
                <w:rFonts w:ascii="Times New Roman" w:hAnsi="Times New Roman" w:cs="Times New Roman"/>
                <w:sz w:val="24"/>
                <w:szCs w:val="24"/>
              </w:rPr>
            </w:pPr>
            <w:r>
              <w:rPr>
                <w:rFonts w:ascii="Times New Roman" w:hAnsi="Times New Roman" w:eastAsia="楷体" w:cs="Times New Roman"/>
                <w:kern w:val="0"/>
                <w:sz w:val="24"/>
                <w:szCs w:val="24"/>
                <w:lang w:bidi="ar"/>
              </w:rPr>
              <w:t>1.本机关不掌握相关政府信息</w:t>
            </w:r>
          </w:p>
        </w:tc>
        <w:tc>
          <w:tcPr>
            <w:tcW w:w="314"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4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5"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88"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27"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314"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center"/>
              <w:rPr>
                <w:rFonts w:ascii="Times New Roman" w:hAnsi="Times New Roman" w:cs="Times New Roman"/>
                <w:sz w:val="24"/>
                <w:szCs w:val="24"/>
              </w:rPr>
            </w:pPr>
          </w:p>
        </w:tc>
        <w:tc>
          <w:tcPr>
            <w:tcW w:w="503"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both"/>
              <w:rPr>
                <w:rFonts w:ascii="Times New Roman" w:hAnsi="Times New Roman" w:cs="Times New Roman"/>
                <w:sz w:val="24"/>
                <w:szCs w:val="24"/>
              </w:rPr>
            </w:pPr>
          </w:p>
        </w:tc>
        <w:tc>
          <w:tcPr>
            <w:tcW w:w="186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jc w:val="both"/>
              <w:rPr>
                <w:rFonts w:ascii="Times New Roman" w:hAnsi="Times New Roman" w:cs="Times New Roman"/>
                <w:sz w:val="24"/>
                <w:szCs w:val="24"/>
              </w:rPr>
            </w:pPr>
            <w:r>
              <w:rPr>
                <w:rFonts w:ascii="Times New Roman" w:hAnsi="Times New Roman" w:eastAsia="楷体" w:cs="Times New Roman"/>
                <w:kern w:val="0"/>
                <w:sz w:val="24"/>
                <w:szCs w:val="24"/>
                <w:lang w:bidi="ar"/>
              </w:rPr>
              <w:t>2.没有现成信息需要另行制作</w:t>
            </w:r>
          </w:p>
        </w:tc>
        <w:tc>
          <w:tcPr>
            <w:tcW w:w="314"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4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5"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88"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27"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314"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center"/>
              <w:rPr>
                <w:rFonts w:ascii="Times New Roman" w:hAnsi="Times New Roman" w:cs="Times New Roman"/>
                <w:sz w:val="24"/>
                <w:szCs w:val="24"/>
              </w:rPr>
            </w:pPr>
          </w:p>
        </w:tc>
        <w:tc>
          <w:tcPr>
            <w:tcW w:w="503"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both"/>
              <w:rPr>
                <w:rFonts w:ascii="Times New Roman" w:hAnsi="Times New Roman" w:cs="Times New Roman"/>
                <w:sz w:val="24"/>
                <w:szCs w:val="24"/>
              </w:rPr>
            </w:pPr>
          </w:p>
        </w:tc>
        <w:tc>
          <w:tcPr>
            <w:tcW w:w="186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jc w:val="both"/>
              <w:rPr>
                <w:rFonts w:ascii="Times New Roman" w:hAnsi="Times New Roman" w:cs="Times New Roman"/>
                <w:sz w:val="24"/>
                <w:szCs w:val="24"/>
              </w:rPr>
            </w:pPr>
            <w:r>
              <w:rPr>
                <w:rFonts w:ascii="Times New Roman" w:hAnsi="Times New Roman" w:eastAsia="楷体" w:cs="Times New Roman"/>
                <w:kern w:val="0"/>
                <w:sz w:val="24"/>
                <w:szCs w:val="24"/>
                <w:lang w:bidi="ar"/>
              </w:rPr>
              <w:t>3.补正后申请内容仍不明确</w:t>
            </w:r>
          </w:p>
        </w:tc>
        <w:tc>
          <w:tcPr>
            <w:tcW w:w="314"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4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5"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88"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27"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314"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center"/>
              <w:rPr>
                <w:rFonts w:ascii="Times New Roman" w:hAnsi="Times New Roman" w:cs="Times New Roman"/>
                <w:sz w:val="24"/>
                <w:szCs w:val="24"/>
              </w:rPr>
            </w:pPr>
          </w:p>
        </w:tc>
        <w:tc>
          <w:tcPr>
            <w:tcW w:w="503"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jc w:val="both"/>
              <w:rPr>
                <w:rFonts w:ascii="Times New Roman" w:hAnsi="Times New Roman" w:cs="Times New Roman"/>
                <w:sz w:val="24"/>
                <w:szCs w:val="24"/>
              </w:rPr>
            </w:pPr>
            <w:r>
              <w:rPr>
                <w:rFonts w:ascii="Times New Roman" w:hAnsi="Times New Roman" w:eastAsia="楷体" w:cs="Times New Roman"/>
                <w:kern w:val="0"/>
                <w:sz w:val="24"/>
                <w:szCs w:val="24"/>
                <w:lang w:bidi="ar"/>
              </w:rPr>
              <w:t>（五）不予处理</w:t>
            </w:r>
          </w:p>
        </w:tc>
        <w:tc>
          <w:tcPr>
            <w:tcW w:w="186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jc w:val="both"/>
              <w:rPr>
                <w:rFonts w:ascii="Times New Roman" w:hAnsi="Times New Roman" w:cs="Times New Roman"/>
                <w:sz w:val="24"/>
                <w:szCs w:val="24"/>
              </w:rPr>
            </w:pPr>
            <w:r>
              <w:rPr>
                <w:rFonts w:ascii="Times New Roman" w:hAnsi="Times New Roman" w:eastAsia="楷体" w:cs="Times New Roman"/>
                <w:kern w:val="0"/>
                <w:sz w:val="24"/>
                <w:szCs w:val="24"/>
                <w:lang w:bidi="ar"/>
              </w:rPr>
              <w:t>1.信访举报投诉类申请</w:t>
            </w:r>
          </w:p>
        </w:tc>
        <w:tc>
          <w:tcPr>
            <w:tcW w:w="314"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4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5"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88"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27"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314"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center"/>
              <w:rPr>
                <w:rFonts w:ascii="Times New Roman" w:hAnsi="Times New Roman" w:cs="Times New Roman"/>
                <w:sz w:val="24"/>
                <w:szCs w:val="24"/>
              </w:rPr>
            </w:pPr>
          </w:p>
        </w:tc>
        <w:tc>
          <w:tcPr>
            <w:tcW w:w="503"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both"/>
              <w:rPr>
                <w:rFonts w:ascii="Times New Roman" w:hAnsi="Times New Roman" w:cs="Times New Roman"/>
                <w:sz w:val="24"/>
                <w:szCs w:val="24"/>
              </w:rPr>
            </w:pPr>
          </w:p>
        </w:tc>
        <w:tc>
          <w:tcPr>
            <w:tcW w:w="186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jc w:val="both"/>
              <w:rPr>
                <w:rFonts w:ascii="Times New Roman" w:hAnsi="Times New Roman" w:cs="Times New Roman"/>
                <w:sz w:val="24"/>
                <w:szCs w:val="24"/>
              </w:rPr>
            </w:pPr>
            <w:r>
              <w:rPr>
                <w:rFonts w:ascii="Times New Roman" w:hAnsi="Times New Roman" w:eastAsia="楷体" w:cs="Times New Roman"/>
                <w:kern w:val="0"/>
                <w:sz w:val="24"/>
                <w:szCs w:val="24"/>
                <w:lang w:bidi="ar"/>
              </w:rPr>
              <w:t>2.重复申请</w:t>
            </w:r>
          </w:p>
        </w:tc>
        <w:tc>
          <w:tcPr>
            <w:tcW w:w="314"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4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5"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88"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27"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314"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center"/>
              <w:rPr>
                <w:rFonts w:ascii="Times New Roman" w:hAnsi="Times New Roman" w:cs="Times New Roman"/>
                <w:sz w:val="24"/>
                <w:szCs w:val="24"/>
              </w:rPr>
            </w:pPr>
          </w:p>
        </w:tc>
        <w:tc>
          <w:tcPr>
            <w:tcW w:w="503"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both"/>
              <w:rPr>
                <w:rFonts w:ascii="Times New Roman" w:hAnsi="Times New Roman" w:cs="Times New Roman"/>
                <w:sz w:val="24"/>
                <w:szCs w:val="24"/>
              </w:rPr>
            </w:pPr>
          </w:p>
        </w:tc>
        <w:tc>
          <w:tcPr>
            <w:tcW w:w="186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jc w:val="both"/>
              <w:rPr>
                <w:rFonts w:ascii="Times New Roman" w:hAnsi="Times New Roman" w:cs="Times New Roman"/>
                <w:sz w:val="24"/>
                <w:szCs w:val="24"/>
              </w:rPr>
            </w:pPr>
            <w:r>
              <w:rPr>
                <w:rFonts w:ascii="Times New Roman" w:hAnsi="Times New Roman" w:eastAsia="楷体" w:cs="Times New Roman"/>
                <w:kern w:val="0"/>
                <w:sz w:val="24"/>
                <w:szCs w:val="24"/>
                <w:lang w:bidi="ar"/>
              </w:rPr>
              <w:t>3.要求提供公开出版物</w:t>
            </w:r>
          </w:p>
        </w:tc>
        <w:tc>
          <w:tcPr>
            <w:tcW w:w="314"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4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5"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88"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27"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314"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center"/>
              <w:rPr>
                <w:rFonts w:ascii="Times New Roman" w:hAnsi="Times New Roman" w:cs="Times New Roman"/>
                <w:sz w:val="24"/>
                <w:szCs w:val="24"/>
              </w:rPr>
            </w:pPr>
          </w:p>
        </w:tc>
        <w:tc>
          <w:tcPr>
            <w:tcW w:w="503"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both"/>
              <w:rPr>
                <w:rFonts w:ascii="Times New Roman" w:hAnsi="Times New Roman" w:cs="Times New Roman"/>
                <w:sz w:val="24"/>
                <w:szCs w:val="24"/>
              </w:rPr>
            </w:pPr>
          </w:p>
        </w:tc>
        <w:tc>
          <w:tcPr>
            <w:tcW w:w="186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jc w:val="both"/>
              <w:rPr>
                <w:rFonts w:ascii="Times New Roman" w:hAnsi="Times New Roman" w:cs="Times New Roman"/>
                <w:sz w:val="24"/>
                <w:szCs w:val="24"/>
              </w:rPr>
            </w:pPr>
            <w:r>
              <w:rPr>
                <w:rFonts w:ascii="Times New Roman" w:hAnsi="Times New Roman" w:eastAsia="楷体" w:cs="Times New Roman"/>
                <w:kern w:val="0"/>
                <w:sz w:val="24"/>
                <w:szCs w:val="24"/>
                <w:lang w:bidi="ar"/>
              </w:rPr>
              <w:t>4.无正当理由大量反复申请</w:t>
            </w:r>
          </w:p>
        </w:tc>
        <w:tc>
          <w:tcPr>
            <w:tcW w:w="314"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4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5"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88"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27"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7" w:hRule="exact"/>
          <w:jc w:val="center"/>
        </w:trPr>
        <w:tc>
          <w:tcPr>
            <w:tcW w:w="314"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center"/>
              <w:rPr>
                <w:rFonts w:ascii="Times New Roman" w:hAnsi="Times New Roman" w:cs="Times New Roman"/>
                <w:sz w:val="24"/>
                <w:szCs w:val="24"/>
              </w:rPr>
            </w:pPr>
          </w:p>
        </w:tc>
        <w:tc>
          <w:tcPr>
            <w:tcW w:w="503"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both"/>
              <w:rPr>
                <w:rFonts w:ascii="Times New Roman" w:hAnsi="Times New Roman" w:cs="Times New Roman"/>
                <w:sz w:val="24"/>
                <w:szCs w:val="24"/>
              </w:rPr>
            </w:pPr>
          </w:p>
        </w:tc>
        <w:tc>
          <w:tcPr>
            <w:tcW w:w="186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jc w:val="both"/>
              <w:rPr>
                <w:rFonts w:ascii="Times New Roman" w:hAnsi="Times New Roman" w:cs="Times New Roman"/>
                <w:sz w:val="24"/>
                <w:szCs w:val="24"/>
              </w:rPr>
            </w:pPr>
            <w:r>
              <w:rPr>
                <w:rFonts w:ascii="Times New Roman" w:hAnsi="Times New Roman" w:eastAsia="楷体" w:cs="Times New Roman"/>
                <w:kern w:val="0"/>
                <w:sz w:val="24"/>
                <w:szCs w:val="24"/>
                <w:lang w:bidi="ar"/>
              </w:rPr>
              <w:t>5.要求行政机关确认或重新出具已获取信息</w:t>
            </w:r>
          </w:p>
        </w:tc>
        <w:tc>
          <w:tcPr>
            <w:tcW w:w="314"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4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5"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88"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27"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314"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center"/>
              <w:rPr>
                <w:rFonts w:ascii="Times New Roman" w:hAnsi="Times New Roman" w:cs="Times New Roman"/>
                <w:sz w:val="24"/>
                <w:szCs w:val="24"/>
              </w:rPr>
            </w:pPr>
          </w:p>
        </w:tc>
        <w:tc>
          <w:tcPr>
            <w:tcW w:w="2369" w:type="pct"/>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both"/>
              <w:rPr>
                <w:rFonts w:ascii="Times New Roman" w:hAnsi="Times New Roman" w:cs="Times New Roman"/>
                <w:sz w:val="24"/>
                <w:szCs w:val="24"/>
              </w:rPr>
            </w:pPr>
            <w:r>
              <w:rPr>
                <w:rFonts w:ascii="Times New Roman" w:hAnsi="Times New Roman" w:eastAsia="楷体" w:cs="Times New Roman"/>
                <w:kern w:val="0"/>
                <w:sz w:val="24"/>
                <w:szCs w:val="24"/>
                <w:lang w:bidi="ar"/>
              </w:rPr>
              <w:t>（六）其他处理</w:t>
            </w:r>
          </w:p>
        </w:tc>
        <w:tc>
          <w:tcPr>
            <w:tcW w:w="314"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4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5"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88"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27"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314"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center"/>
              <w:rPr>
                <w:rFonts w:ascii="Times New Roman" w:hAnsi="Times New Roman" w:cs="Times New Roman"/>
                <w:sz w:val="24"/>
                <w:szCs w:val="24"/>
              </w:rPr>
            </w:pPr>
          </w:p>
        </w:tc>
        <w:tc>
          <w:tcPr>
            <w:tcW w:w="2369" w:type="pct"/>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both"/>
              <w:rPr>
                <w:rFonts w:ascii="Times New Roman" w:hAnsi="Times New Roman" w:cs="Times New Roman"/>
                <w:sz w:val="24"/>
                <w:szCs w:val="24"/>
              </w:rPr>
            </w:pPr>
            <w:r>
              <w:rPr>
                <w:rFonts w:ascii="Times New Roman" w:hAnsi="Times New Roman" w:eastAsia="楷体" w:cs="Times New Roman"/>
                <w:kern w:val="0"/>
                <w:sz w:val="24"/>
                <w:szCs w:val="24"/>
                <w:lang w:bidi="ar"/>
              </w:rPr>
              <w:t>（七）总计</w:t>
            </w:r>
          </w:p>
        </w:tc>
        <w:tc>
          <w:tcPr>
            <w:tcW w:w="314"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4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5"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88"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27"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2684" w:type="pct"/>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r>
              <w:rPr>
                <w:rFonts w:ascii="Times New Roman" w:hAnsi="Times New Roman" w:eastAsia="宋体" w:cs="Times New Roman"/>
                <w:kern w:val="0"/>
                <w:sz w:val="24"/>
                <w:szCs w:val="24"/>
                <w:lang w:bidi="ar"/>
              </w:rPr>
              <w:t>四、结转下年度继续办理</w:t>
            </w:r>
          </w:p>
        </w:tc>
        <w:tc>
          <w:tcPr>
            <w:tcW w:w="314"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46"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5"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88"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widowControl/>
              <w:adjustRightInd w:val="0"/>
              <w:snapToGrid w:val="0"/>
              <w:spacing w:after="180"/>
              <w:ind w:firstLine="480" w:firstLineChars="200"/>
              <w:jc w:val="center"/>
              <w:rPr>
                <w:rFonts w:ascii="Times New Roman" w:hAnsi="Times New Roman" w:cs="Times New Roman"/>
                <w:sz w:val="24"/>
                <w:szCs w:val="24"/>
              </w:rPr>
            </w:pPr>
          </w:p>
        </w:tc>
        <w:tc>
          <w:tcPr>
            <w:tcW w:w="327" w:type="pct"/>
            <w:tcBorders>
              <w:top w:val="nil"/>
              <w:left w:val="nil"/>
              <w:bottom w:val="single" w:color="auto" w:sz="8" w:space="0"/>
              <w:right w:val="single" w:color="auto" w:sz="8" w:space="0"/>
            </w:tcBorders>
            <w:shd w:val="clear" w:color="auto" w:fill="auto"/>
            <w:tcMar>
              <w:left w:w="108" w:type="dxa"/>
              <w:right w:w="108" w:type="dxa"/>
            </w:tcMar>
            <w:vAlign w:val="center"/>
          </w:tcPr>
          <w:p>
            <w:pPr>
              <w:adjustRightInd w:val="0"/>
              <w:snapToGrid w:val="0"/>
              <w:ind w:firstLine="480" w:firstLineChars="200"/>
              <w:jc w:val="center"/>
              <w:rPr>
                <w:rFonts w:ascii="Times New Roman" w:hAnsi="Times New Roman" w:cs="Times New Roman"/>
                <w:sz w:val="24"/>
                <w:szCs w:val="24"/>
              </w:rPr>
            </w:pPr>
          </w:p>
        </w:tc>
      </w:tr>
    </w:tbl>
    <w:p>
      <w:pPr>
        <w:spacing w:line="540" w:lineRule="exact"/>
        <w:ind w:left="640"/>
        <w:rPr>
          <w:rFonts w:ascii="仿宋" w:hAnsi="仿宋" w:eastAsia="仿宋" w:cs="仿宋"/>
        </w:rPr>
      </w:pPr>
    </w:p>
    <w:p>
      <w:pPr>
        <w:keepNext w:val="0"/>
        <w:keepLines w:val="0"/>
        <w:pageBreakBefore w:val="0"/>
        <w:kinsoku/>
        <w:wordWrap/>
        <w:overflowPunct/>
        <w:topLinePunct w:val="0"/>
        <w:autoSpaceDE/>
        <w:autoSpaceDN/>
        <w:bidi w:val="0"/>
        <w:adjustRightInd/>
        <w:snapToGrid/>
        <w:spacing w:line="570" w:lineRule="exact"/>
        <w:ind w:left="0"/>
        <w:textAlignment w:val="auto"/>
        <w:rPr>
          <w:rFonts w:hint="eastAsia" w:ascii="黑体" w:hAnsi="黑体" w:eastAsia="黑体" w:cs="黑体"/>
          <w:bCs/>
          <w:color w:val="333333"/>
          <w:kern w:val="0"/>
          <w:sz w:val="32"/>
          <w:szCs w:val="32"/>
          <w:shd w:val="clear" w:color="auto" w:fill="FFFFFF"/>
          <w:lang w:val="en-US" w:eastAsia="zh-CN" w:bidi="ar-SA"/>
        </w:rPr>
      </w:pPr>
      <w:r>
        <w:rPr>
          <w:rFonts w:hint="eastAsia" w:ascii="黑体" w:hAnsi="黑体" w:eastAsia="黑体" w:cs="黑体"/>
          <w:bCs/>
          <w:color w:val="333333"/>
          <w:kern w:val="0"/>
          <w:sz w:val="32"/>
          <w:szCs w:val="32"/>
          <w:shd w:val="clear" w:color="auto" w:fill="FFFFFF"/>
          <w:lang w:val="en-US" w:eastAsia="zh-CN" w:bidi="ar-SA"/>
        </w:rPr>
        <w:t>四、政府信息公开行政复议、行政诉讼情况</w:t>
      </w:r>
    </w:p>
    <w:tbl>
      <w:tblPr>
        <w:tblStyle w:val="5"/>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595"/>
        <w:gridCol w:w="595"/>
        <w:gridCol w:w="595"/>
        <w:gridCol w:w="604"/>
        <w:gridCol w:w="594"/>
        <w:gridCol w:w="594"/>
        <w:gridCol w:w="594"/>
        <w:gridCol w:w="594"/>
        <w:gridCol w:w="604"/>
        <w:gridCol w:w="594"/>
        <w:gridCol w:w="594"/>
        <w:gridCol w:w="594"/>
        <w:gridCol w:w="594"/>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4" w:type="dxa"/>
            <w:gridSpan w:val="5"/>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行政复议</w:t>
            </w:r>
          </w:p>
        </w:tc>
        <w:tc>
          <w:tcPr>
            <w:tcW w:w="5964" w:type="dxa"/>
            <w:gridSpan w:val="10"/>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vMerge w:val="restart"/>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结果维护</w:t>
            </w:r>
          </w:p>
        </w:tc>
        <w:tc>
          <w:tcPr>
            <w:tcW w:w="595" w:type="dxa"/>
            <w:vMerge w:val="restart"/>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结果纠正</w:t>
            </w:r>
          </w:p>
        </w:tc>
        <w:tc>
          <w:tcPr>
            <w:tcW w:w="595" w:type="dxa"/>
            <w:vMerge w:val="restart"/>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其他结果</w:t>
            </w:r>
          </w:p>
        </w:tc>
        <w:tc>
          <w:tcPr>
            <w:tcW w:w="595" w:type="dxa"/>
            <w:vMerge w:val="restart"/>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尚未审结</w:t>
            </w:r>
          </w:p>
        </w:tc>
        <w:tc>
          <w:tcPr>
            <w:tcW w:w="604" w:type="dxa"/>
            <w:vMerge w:val="restart"/>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总计</w:t>
            </w:r>
          </w:p>
        </w:tc>
        <w:tc>
          <w:tcPr>
            <w:tcW w:w="2980" w:type="dxa"/>
            <w:gridSpan w:val="5"/>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shd w:val="clear" w:color="auto" w:fill="FFFFFF"/>
              </w:rPr>
              <w:t>未经复议直接起诉</w:t>
            </w:r>
          </w:p>
        </w:tc>
        <w:tc>
          <w:tcPr>
            <w:tcW w:w="2984" w:type="dxa"/>
            <w:gridSpan w:val="5"/>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vMerge w:val="continue"/>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p>
        </w:tc>
        <w:tc>
          <w:tcPr>
            <w:tcW w:w="595" w:type="dxa"/>
            <w:vMerge w:val="continue"/>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p>
        </w:tc>
        <w:tc>
          <w:tcPr>
            <w:tcW w:w="595" w:type="dxa"/>
            <w:vMerge w:val="continue"/>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p>
        </w:tc>
        <w:tc>
          <w:tcPr>
            <w:tcW w:w="595" w:type="dxa"/>
            <w:vMerge w:val="continue"/>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p>
        </w:tc>
        <w:tc>
          <w:tcPr>
            <w:tcW w:w="604" w:type="dxa"/>
            <w:vMerge w:val="continue"/>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p>
        </w:tc>
        <w:tc>
          <w:tcPr>
            <w:tcW w:w="594" w:type="dxa"/>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结果维护</w:t>
            </w:r>
          </w:p>
        </w:tc>
        <w:tc>
          <w:tcPr>
            <w:tcW w:w="594" w:type="dxa"/>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结果纠正</w:t>
            </w:r>
          </w:p>
        </w:tc>
        <w:tc>
          <w:tcPr>
            <w:tcW w:w="594" w:type="dxa"/>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其他结果</w:t>
            </w:r>
          </w:p>
        </w:tc>
        <w:tc>
          <w:tcPr>
            <w:tcW w:w="594" w:type="dxa"/>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尚未审结</w:t>
            </w:r>
          </w:p>
        </w:tc>
        <w:tc>
          <w:tcPr>
            <w:tcW w:w="604" w:type="dxa"/>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总计</w:t>
            </w:r>
          </w:p>
        </w:tc>
        <w:tc>
          <w:tcPr>
            <w:tcW w:w="594" w:type="dxa"/>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结果维护</w:t>
            </w:r>
          </w:p>
        </w:tc>
        <w:tc>
          <w:tcPr>
            <w:tcW w:w="594" w:type="dxa"/>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结果纠正</w:t>
            </w:r>
          </w:p>
        </w:tc>
        <w:tc>
          <w:tcPr>
            <w:tcW w:w="594" w:type="dxa"/>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其他结果</w:t>
            </w:r>
          </w:p>
        </w:tc>
        <w:tc>
          <w:tcPr>
            <w:tcW w:w="594" w:type="dxa"/>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尚未审结</w:t>
            </w:r>
          </w:p>
        </w:tc>
        <w:tc>
          <w:tcPr>
            <w:tcW w:w="608" w:type="dxa"/>
            <w:shd w:val="clear" w:color="auto" w:fill="auto"/>
            <w:vAlign w:val="center"/>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shd w:val="clear" w:color="auto" w:fill="auto"/>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w:t>
            </w:r>
          </w:p>
        </w:tc>
        <w:tc>
          <w:tcPr>
            <w:tcW w:w="595" w:type="dxa"/>
            <w:shd w:val="clear" w:color="auto" w:fill="auto"/>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w:t>
            </w:r>
          </w:p>
        </w:tc>
        <w:tc>
          <w:tcPr>
            <w:tcW w:w="595" w:type="dxa"/>
            <w:shd w:val="clear" w:color="auto" w:fill="auto"/>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w:t>
            </w:r>
          </w:p>
        </w:tc>
        <w:tc>
          <w:tcPr>
            <w:tcW w:w="595" w:type="dxa"/>
            <w:shd w:val="clear" w:color="auto" w:fill="auto"/>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w:t>
            </w:r>
          </w:p>
        </w:tc>
        <w:tc>
          <w:tcPr>
            <w:tcW w:w="604" w:type="dxa"/>
            <w:shd w:val="clear" w:color="auto" w:fill="auto"/>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w:t>
            </w:r>
          </w:p>
        </w:tc>
        <w:tc>
          <w:tcPr>
            <w:tcW w:w="594" w:type="dxa"/>
            <w:shd w:val="clear" w:color="auto" w:fill="auto"/>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w:t>
            </w:r>
          </w:p>
        </w:tc>
        <w:tc>
          <w:tcPr>
            <w:tcW w:w="594" w:type="dxa"/>
            <w:shd w:val="clear" w:color="auto" w:fill="auto"/>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w:t>
            </w:r>
          </w:p>
        </w:tc>
        <w:tc>
          <w:tcPr>
            <w:tcW w:w="594" w:type="dxa"/>
            <w:shd w:val="clear" w:color="auto" w:fill="auto"/>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w:t>
            </w:r>
          </w:p>
        </w:tc>
        <w:tc>
          <w:tcPr>
            <w:tcW w:w="594" w:type="dxa"/>
            <w:shd w:val="clear" w:color="auto" w:fill="auto"/>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w:t>
            </w:r>
          </w:p>
        </w:tc>
        <w:tc>
          <w:tcPr>
            <w:tcW w:w="604" w:type="dxa"/>
            <w:shd w:val="clear" w:color="auto" w:fill="auto"/>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w:t>
            </w:r>
          </w:p>
        </w:tc>
        <w:tc>
          <w:tcPr>
            <w:tcW w:w="594" w:type="dxa"/>
            <w:shd w:val="clear" w:color="auto" w:fill="auto"/>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w:t>
            </w:r>
          </w:p>
        </w:tc>
        <w:tc>
          <w:tcPr>
            <w:tcW w:w="594" w:type="dxa"/>
            <w:shd w:val="clear" w:color="auto" w:fill="auto"/>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w:t>
            </w:r>
          </w:p>
        </w:tc>
        <w:tc>
          <w:tcPr>
            <w:tcW w:w="594" w:type="dxa"/>
            <w:shd w:val="clear" w:color="auto" w:fill="auto"/>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w:t>
            </w:r>
          </w:p>
        </w:tc>
        <w:tc>
          <w:tcPr>
            <w:tcW w:w="594" w:type="dxa"/>
            <w:shd w:val="clear" w:color="auto" w:fill="auto"/>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w:t>
            </w:r>
          </w:p>
        </w:tc>
        <w:tc>
          <w:tcPr>
            <w:tcW w:w="608" w:type="dxa"/>
            <w:shd w:val="clear" w:color="auto" w:fill="auto"/>
          </w:tcPr>
          <w:p>
            <w:pPr>
              <w:spacing w:line="5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70" w:lineRule="exact"/>
        <w:textAlignment w:val="auto"/>
        <w:rPr>
          <w:rFonts w:ascii="宋体" w:hAnsi="宋体" w:eastAsia="宋体" w:cs="宋体"/>
          <w:color w:val="333333"/>
          <w:sz w:val="32"/>
          <w:szCs w:val="32"/>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ascii="黑体" w:hAnsi="黑体" w:eastAsia="黑体" w:cs="黑体"/>
          <w:bCs/>
          <w:color w:val="333333"/>
          <w:sz w:val="32"/>
          <w:szCs w:val="32"/>
        </w:rPr>
      </w:pPr>
      <w:r>
        <w:rPr>
          <w:rFonts w:hint="eastAsia" w:ascii="黑体" w:hAnsi="黑体" w:eastAsia="黑体" w:cs="黑体"/>
          <w:bCs/>
          <w:color w:val="333333"/>
          <w:kern w:val="0"/>
          <w:sz w:val="32"/>
          <w:szCs w:val="32"/>
          <w:shd w:val="clear" w:color="auto" w:fill="FFFFFF"/>
          <w:lang w:val="en-US" w:eastAsia="zh-CN" w:bidi="ar-SA"/>
        </w:rPr>
        <w:t>五、存在的主要问题及改进情况</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50" w:lineRule="exact"/>
        <w:ind w:leftChars="200"/>
        <w:jc w:val="both"/>
        <w:textAlignment w:val="auto"/>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（一）主要问题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rightChars="0"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1、政策解读实效要进一步提升。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rightChars="0"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2、信息公开平台建设要进一步提升和完善。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rightChars="0"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3、信息公开工作能力建设要持续加强推进。</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rightChars="0"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50" w:lineRule="exact"/>
        <w:ind w:leftChars="200"/>
        <w:jc w:val="both"/>
        <w:textAlignment w:val="auto"/>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（二）改进措施</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rightChars="0"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1、加大主动公开力度。深入落实《政府信息公开条例》，针对重要政策措施出台，及时开展政策宣传解读，提升政策传播实效。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rightChars="0"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2、加强信息公开平台建设。充分利用上犹公安微信公众号和头条号等，对公开的信息加强梳理，丰富信息类别，完善公开内容。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rightChars="0"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3、持续推进信息公开能力建设。努力规范工作流程，加强培训，提高工作技能，确保信息及时公开。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rightChars="0"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黑体" w:hAnsi="黑体" w:eastAsia="黑体" w:cs="黑体"/>
          <w:bCs/>
          <w:color w:val="333333"/>
          <w:sz w:val="32"/>
          <w:szCs w:val="32"/>
        </w:rPr>
      </w:pPr>
      <w:r>
        <w:rPr>
          <w:rFonts w:hint="eastAsia" w:ascii="黑体" w:hAnsi="黑体" w:eastAsia="黑体" w:cs="黑体"/>
          <w:bCs/>
          <w:color w:val="333333"/>
          <w:sz w:val="32"/>
          <w:szCs w:val="32"/>
          <w:shd w:val="clear" w:color="auto" w:fill="FFFFFF"/>
        </w:rPr>
        <w:t>六、其他需要报告的事项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rightChars="0"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我局无其他需要报告的事项。</w:t>
      </w:r>
    </w:p>
    <w:sectPr>
      <w:pgSz w:w="11906" w:h="16838"/>
      <w:pgMar w:top="2098" w:right="1587" w:bottom="209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D2BD9F"/>
    <w:multiLevelType w:val="singleLevel"/>
    <w:tmpl w:val="C2D2BD9F"/>
    <w:lvl w:ilvl="0" w:tentative="0">
      <w:start w:val="1"/>
      <w:numFmt w:val="decimal"/>
      <w:lvlText w:val="%1."/>
      <w:lvlJc w:val="left"/>
      <w:pPr>
        <w:tabs>
          <w:tab w:val="left" w:pos="312"/>
        </w:tabs>
      </w:pPr>
    </w:lvl>
  </w:abstractNum>
  <w:abstractNum w:abstractNumId="1">
    <w:nsid w:val="E49DB681"/>
    <w:multiLevelType w:val="singleLevel"/>
    <w:tmpl w:val="E49DB681"/>
    <w:lvl w:ilvl="0" w:tentative="0">
      <w:start w:val="1"/>
      <w:numFmt w:val="chineseCounting"/>
      <w:suff w:val="nothing"/>
      <w:lvlText w:val="%1、"/>
      <w:lvlJc w:val="left"/>
      <w:rPr>
        <w:rFonts w:hint="eastAsia"/>
      </w:rPr>
    </w:lvl>
  </w:abstractNum>
  <w:abstractNum w:abstractNumId="2">
    <w:nsid w:val="128F45C3"/>
    <w:multiLevelType w:val="singleLevel"/>
    <w:tmpl w:val="128F45C3"/>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214C3"/>
    <w:rsid w:val="000214C3"/>
    <w:rsid w:val="002507D9"/>
    <w:rsid w:val="00306C02"/>
    <w:rsid w:val="00321B1E"/>
    <w:rsid w:val="0057761B"/>
    <w:rsid w:val="072F4BA5"/>
    <w:rsid w:val="0F42566A"/>
    <w:rsid w:val="0FE32618"/>
    <w:rsid w:val="17534F7D"/>
    <w:rsid w:val="19416358"/>
    <w:rsid w:val="1B931963"/>
    <w:rsid w:val="23B06487"/>
    <w:rsid w:val="2480713E"/>
    <w:rsid w:val="266318CE"/>
    <w:rsid w:val="2BD75C13"/>
    <w:rsid w:val="2FDB22BD"/>
    <w:rsid w:val="309D744C"/>
    <w:rsid w:val="3E20464A"/>
    <w:rsid w:val="3F822AB2"/>
    <w:rsid w:val="42757829"/>
    <w:rsid w:val="49375246"/>
    <w:rsid w:val="519D4381"/>
    <w:rsid w:val="5654259A"/>
    <w:rsid w:val="566E50F8"/>
    <w:rsid w:val="56857A37"/>
    <w:rsid w:val="5D1B4710"/>
    <w:rsid w:val="5FCE6A83"/>
    <w:rsid w:val="69B437EB"/>
    <w:rsid w:val="6EB526D3"/>
    <w:rsid w:val="6EC41F3F"/>
    <w:rsid w:val="729D0B3E"/>
    <w:rsid w:val="7B440FF1"/>
    <w:rsid w:val="7D7C7D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paragraph" w:customStyle="1" w:styleId="7">
    <w:name w:val="Other|1"/>
    <w:basedOn w:val="1"/>
    <w:qFormat/>
    <w:uiPriority w:val="99"/>
    <w:pPr>
      <w:spacing w:line="444" w:lineRule="auto"/>
      <w:ind w:firstLine="400"/>
    </w:pPr>
    <w:rPr>
      <w:rFonts w:ascii="宋体" w:hAnsi="宋体" w:cs="宋体"/>
      <w:sz w:val="28"/>
      <w:szCs w:val="28"/>
      <w:lang w:val="zh-TW" w:eastAsia="zh-TW"/>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448</Words>
  <Characters>2556</Characters>
  <Lines>21</Lines>
  <Paragraphs>5</Paragraphs>
  <TotalTime>0</TotalTime>
  <ScaleCrop>false</ScaleCrop>
  <LinksUpToDate>false</LinksUpToDate>
  <CharactersWithSpaces>2999</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9999.</cp:lastModifiedBy>
  <dcterms:modified xsi:type="dcterms:W3CDTF">2021-01-29T02:01:43Z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